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39F0" w14:textId="5B4FAC3D" w:rsidR="00646901" w:rsidRPr="00646901" w:rsidRDefault="0016193E" w:rsidP="0016193E">
      <w:pPr>
        <w:spacing w:before="120" w:line="240" w:lineRule="auto"/>
        <w:jc w:val="center"/>
        <w:rPr>
          <w:rFonts w:ascii="Montserrat Medium" w:hAnsi="Montserrat Medium" w:cstheme="majorHAnsi"/>
          <w:sz w:val="24"/>
          <w:szCs w:val="24"/>
        </w:rPr>
      </w:pPr>
      <w:r>
        <w:rPr>
          <w:rFonts w:ascii="Montserrat Medium" w:hAnsi="Montserrat Medium" w:cstheme="majorHAnsi"/>
          <w:sz w:val="24"/>
          <w:szCs w:val="24"/>
        </w:rPr>
        <w:t>Ры</w:t>
      </w:r>
      <w:r w:rsidR="00646901" w:rsidRPr="00646901">
        <w:rPr>
          <w:rFonts w:ascii="Montserrat Medium" w:hAnsi="Montserrat Medium" w:cstheme="majorHAnsi"/>
          <w:sz w:val="24"/>
          <w:szCs w:val="24"/>
        </w:rPr>
        <w:t>нок лизинга легковых автомобилей в январе-апреле 2026 года оказался на 1,5% ниже прошлогодних показателей</w:t>
      </w:r>
    </w:p>
    <w:p w14:paraId="0A6DA281" w14:textId="77777777" w:rsidR="00646901" w:rsidRPr="00646901" w:rsidRDefault="00646901" w:rsidP="00646901">
      <w:pPr>
        <w:spacing w:before="120" w:line="240" w:lineRule="auto"/>
        <w:jc w:val="center"/>
        <w:rPr>
          <w:rFonts w:ascii="Montserrat Medium" w:hAnsi="Montserrat Medium" w:cstheme="majorHAnsi"/>
          <w:sz w:val="20"/>
          <w:szCs w:val="20"/>
        </w:rPr>
      </w:pPr>
      <w:r w:rsidRPr="00646901">
        <w:rPr>
          <w:rFonts w:ascii="Montserrat Medium" w:hAnsi="Montserrat Medium" w:cstheme="majorHAnsi"/>
          <w:sz w:val="20"/>
          <w:szCs w:val="20"/>
        </w:rPr>
        <w:t>При этом апрель стал лучшим месяцем года по количеству реализованных в лизинг «легковушек»</w:t>
      </w:r>
    </w:p>
    <w:p w14:paraId="2AFFDB26" w14:textId="3D291839" w:rsidR="00646901" w:rsidRPr="00646901" w:rsidRDefault="00646901" w:rsidP="00646901">
      <w:pPr>
        <w:spacing w:before="120"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46901">
        <w:rPr>
          <w:rFonts w:asciiTheme="majorHAnsi" w:hAnsiTheme="majorHAnsi" w:cstheme="majorHAnsi"/>
          <w:i/>
          <w:sz w:val="20"/>
          <w:szCs w:val="20"/>
        </w:rPr>
        <w:t xml:space="preserve">По данным Газпромбанк </w:t>
      </w:r>
      <w:proofErr w:type="spellStart"/>
      <w:r w:rsidRPr="00646901">
        <w:rPr>
          <w:rFonts w:asciiTheme="majorHAnsi" w:hAnsiTheme="majorHAnsi" w:cstheme="majorHAnsi"/>
          <w:i/>
          <w:sz w:val="20"/>
          <w:szCs w:val="20"/>
        </w:rPr>
        <w:t>Автолизинг</w:t>
      </w:r>
      <w:proofErr w:type="spellEnd"/>
      <w:r w:rsidRPr="00646901">
        <w:rPr>
          <w:rFonts w:asciiTheme="majorHAnsi" w:hAnsiTheme="majorHAnsi" w:cstheme="majorHAnsi"/>
          <w:i/>
          <w:sz w:val="20"/>
          <w:szCs w:val="20"/>
        </w:rPr>
        <w:t xml:space="preserve"> и маркетингового агентства НАПИ, по итогам января-апреля 2026 года рынок лизинга* новых и подержанных легковых автомобилей сократился на 1,5% в штуках в годовом выражении. Сегмент с пробегом при этом продолжает демонстрировать</w:t>
      </w:r>
      <w:r>
        <w:rPr>
          <w:rFonts w:asciiTheme="majorHAnsi" w:hAnsiTheme="majorHAnsi" w:cstheme="majorHAnsi"/>
          <w:i/>
          <w:sz w:val="20"/>
          <w:szCs w:val="20"/>
        </w:rPr>
        <w:t xml:space="preserve"> рост</w:t>
      </w:r>
      <w:r w:rsidRPr="00646901">
        <w:rPr>
          <w:rFonts w:asciiTheme="majorHAnsi" w:hAnsiTheme="majorHAnsi" w:cstheme="majorHAnsi"/>
          <w:i/>
          <w:sz w:val="20"/>
          <w:szCs w:val="20"/>
        </w:rPr>
        <w:t xml:space="preserve"> и нивелировать общее падение на рынке: за четыре месяца с начала года лизинг подержанных «легковушек» вырос на 32,5%, а в апреле – на 13,3%. </w:t>
      </w:r>
    </w:p>
    <w:p w14:paraId="348701B2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  <w:u w:val="single"/>
        </w:rPr>
      </w:pPr>
      <w:r w:rsidRPr="00646901">
        <w:rPr>
          <w:rFonts w:cstheme="majorHAnsi"/>
          <w:b/>
          <w:sz w:val="20"/>
          <w:szCs w:val="20"/>
          <w:u w:val="single"/>
        </w:rPr>
        <w:t xml:space="preserve">Итоги января-апреля 2026 года </w:t>
      </w:r>
    </w:p>
    <w:p w14:paraId="3A58C8AE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За январь-апрель 2026 года представители бизнеса приобрели в лизинг 44,9 тыс. легковых автомобилей (32,5 тыс. новых и 12,4 тыс. с пробегом) по сравнению с 45,6 тыс. за аналогичный период годом ранее (36,2 тыс. новых и 9,4 тыс. с пробегом). Общее сокращение в сегменте с начала года составило 1,5%, при этом лизинг подержанных автомобилей вырос на 32,5%, а новых </w:t>
      </w:r>
      <w:proofErr w:type="gramStart"/>
      <w:r w:rsidRPr="00646901">
        <w:rPr>
          <w:rFonts w:cstheme="majorHAnsi"/>
          <w:sz w:val="20"/>
          <w:szCs w:val="20"/>
        </w:rPr>
        <w:t>-  снизился</w:t>
      </w:r>
      <w:proofErr w:type="gramEnd"/>
      <w:r w:rsidRPr="00646901">
        <w:rPr>
          <w:rFonts w:cstheme="majorHAnsi"/>
          <w:sz w:val="20"/>
          <w:szCs w:val="20"/>
        </w:rPr>
        <w:t xml:space="preserve"> на 10,3%. В результате доля сегмента с пробегом в общих лизинговых продажах также выросла за отчетный период с 21% до 28% (за январь-апрель 2025/2026 </w:t>
      </w:r>
      <w:proofErr w:type="spellStart"/>
      <w:r w:rsidRPr="00646901">
        <w:rPr>
          <w:rFonts w:cstheme="majorHAnsi"/>
          <w:sz w:val="20"/>
          <w:szCs w:val="20"/>
        </w:rPr>
        <w:t>гг</w:t>
      </w:r>
      <w:proofErr w:type="spellEnd"/>
      <w:r w:rsidRPr="00646901">
        <w:rPr>
          <w:rFonts w:cstheme="majorHAnsi"/>
          <w:sz w:val="20"/>
          <w:szCs w:val="20"/>
        </w:rPr>
        <w:t>).</w:t>
      </w:r>
    </w:p>
    <w:p w14:paraId="7B178BD5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По итогам четырех месяцев текущего года доля лизинга в корпоративных продажах новых легковых автомобилей достигла 62,6% (+2,7 </w:t>
      </w:r>
      <w:proofErr w:type="spellStart"/>
      <w:r w:rsidRPr="00646901">
        <w:rPr>
          <w:rFonts w:cstheme="majorHAnsi"/>
          <w:sz w:val="20"/>
          <w:szCs w:val="20"/>
        </w:rPr>
        <w:t>п.п</w:t>
      </w:r>
      <w:proofErr w:type="spellEnd"/>
      <w:r w:rsidRPr="00646901">
        <w:rPr>
          <w:rFonts w:cstheme="majorHAnsi"/>
          <w:sz w:val="20"/>
          <w:szCs w:val="20"/>
        </w:rPr>
        <w:t xml:space="preserve">. по сравнению с четырьмя месяцами 2025 года). Выдача в лизинг легковых автомобилей с пробегом достигла 31,8% (+6,5 </w:t>
      </w:r>
      <w:proofErr w:type="spellStart"/>
      <w:r w:rsidRPr="00646901">
        <w:rPr>
          <w:rFonts w:cstheme="majorHAnsi"/>
          <w:sz w:val="20"/>
          <w:szCs w:val="20"/>
        </w:rPr>
        <w:t>п.п</w:t>
      </w:r>
      <w:proofErr w:type="spellEnd"/>
      <w:r w:rsidRPr="00646901">
        <w:rPr>
          <w:rFonts w:cstheme="majorHAnsi"/>
          <w:sz w:val="20"/>
          <w:szCs w:val="20"/>
        </w:rPr>
        <w:t>.).</w:t>
      </w:r>
    </w:p>
    <w:p w14:paraId="55439E23" w14:textId="6D849ECB" w:rsidR="00A63ABE" w:rsidRPr="00646901" w:rsidRDefault="00A63ABE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A63ABE">
        <w:rPr>
          <w:rFonts w:cstheme="majorHAnsi"/>
          <w:sz w:val="20"/>
          <w:szCs w:val="20"/>
        </w:rPr>
        <w:t xml:space="preserve">Доля взятой в лизинг китайской техники (без учета </w:t>
      </w:r>
      <w:r w:rsidRPr="00A63ABE">
        <w:rPr>
          <w:rFonts w:cstheme="majorHAnsi"/>
          <w:sz w:val="20"/>
          <w:szCs w:val="20"/>
          <w:lang w:val="en-US"/>
        </w:rPr>
        <w:t>BELGEE</w:t>
      </w:r>
      <w:r w:rsidRPr="00A63ABE">
        <w:rPr>
          <w:rFonts w:cstheme="majorHAnsi"/>
          <w:sz w:val="20"/>
          <w:szCs w:val="20"/>
        </w:rPr>
        <w:t xml:space="preserve">) сократилась на 5,8 </w:t>
      </w:r>
      <w:proofErr w:type="spellStart"/>
      <w:r w:rsidRPr="00A63ABE">
        <w:rPr>
          <w:rFonts w:cstheme="majorHAnsi"/>
          <w:sz w:val="20"/>
          <w:szCs w:val="20"/>
        </w:rPr>
        <w:t>п.п</w:t>
      </w:r>
      <w:proofErr w:type="spellEnd"/>
      <w:r w:rsidRPr="00A63ABE">
        <w:rPr>
          <w:rFonts w:cstheme="majorHAnsi"/>
          <w:sz w:val="20"/>
          <w:szCs w:val="20"/>
        </w:rPr>
        <w:t xml:space="preserve">., до 45,6%. В то же время доля отечественных марок выросла на 5,7 </w:t>
      </w:r>
      <w:proofErr w:type="spellStart"/>
      <w:r w:rsidRPr="00A63ABE">
        <w:rPr>
          <w:rFonts w:cstheme="majorHAnsi"/>
          <w:sz w:val="20"/>
          <w:szCs w:val="20"/>
        </w:rPr>
        <w:t>п.п</w:t>
      </w:r>
      <w:proofErr w:type="spellEnd"/>
      <w:r w:rsidRPr="00A63ABE">
        <w:rPr>
          <w:rFonts w:cstheme="majorHAnsi"/>
          <w:sz w:val="20"/>
          <w:szCs w:val="20"/>
        </w:rPr>
        <w:t xml:space="preserve">. до 33,1%. </w:t>
      </w:r>
    </w:p>
    <w:p w14:paraId="5E414C9A" w14:textId="77777777" w:rsidR="00646901" w:rsidRPr="00646901" w:rsidRDefault="00646901" w:rsidP="00646901">
      <w:pPr>
        <w:spacing w:before="120" w:line="240" w:lineRule="auto"/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646901">
        <w:rPr>
          <w:rFonts w:cstheme="majorHAnsi"/>
          <w:sz w:val="20"/>
          <w:szCs w:val="20"/>
        </w:rPr>
        <w:t xml:space="preserve">В ТОП-5 новых и подержанных легковых брендов, чаще всего оформляемых бизнесом в лизинг, вошли LADA (доля – 23,3%), HAVAL (8,2%), BELGEE (7,3%), TENET (6,4%), CHERY (4,9%). А замкнули десятку GEELY, </w:t>
      </w:r>
      <w:r w:rsidRPr="00646901">
        <w:rPr>
          <w:rFonts w:cstheme="majorHAnsi"/>
          <w:sz w:val="20"/>
          <w:szCs w:val="20"/>
          <w:lang w:val="en-US"/>
        </w:rPr>
        <w:t>FAW</w:t>
      </w:r>
      <w:r w:rsidRPr="00646901">
        <w:rPr>
          <w:rFonts w:cstheme="majorHAnsi"/>
          <w:sz w:val="20"/>
          <w:szCs w:val="20"/>
        </w:rPr>
        <w:t xml:space="preserve">, TANK, VOYAH, HONGQI. Падение выдачи в лизинг зафиксировано у марок LADA (-1,3%), CHERY (-43,1%) и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 xml:space="preserve"> (-35,7%), а наибольший рост – у марок </w:t>
      </w:r>
      <w:r w:rsidRPr="00646901">
        <w:rPr>
          <w:rFonts w:eastAsia="Times New Roman" w:cstheme="majorHAnsi"/>
          <w:sz w:val="20"/>
          <w:szCs w:val="20"/>
          <w:lang w:eastAsia="ru-RU"/>
        </w:rPr>
        <w:t xml:space="preserve">FAW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(+654,8%),</w:t>
      </w:r>
      <w:r w:rsidRPr="00646901">
        <w:rPr>
          <w:rFonts w:cstheme="majorHAnsi"/>
          <w:sz w:val="20"/>
          <w:szCs w:val="20"/>
        </w:rPr>
        <w:t xml:space="preserve"> VOYAH (193,6%),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HONGQI (201,9%).</w:t>
      </w:r>
    </w:p>
    <w:p w14:paraId="0A24A3CA" w14:textId="77777777" w:rsidR="00646901" w:rsidRPr="00646901" w:rsidRDefault="00646901" w:rsidP="00646901">
      <w:pPr>
        <w:spacing w:before="120" w:line="240" w:lineRule="auto"/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Среди новых легковых автомобилей лидерами по выдаче в лизинг стали марки LADA, BELGEE, TENET, </w:t>
      </w:r>
      <w:proofErr w:type="spellStart"/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HAVAl</w:t>
      </w:r>
      <w:proofErr w:type="spellEnd"/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 и GEELY. Среди подержанных легковых автомобилей наиболее востребованными марками оказались LADA, CHERY, HAVAL, GEELY и MERCEDES-BENZ.</w:t>
      </w:r>
    </w:p>
    <w:p w14:paraId="3AAC28D1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Самыми востребованными моделями у корпоративных клиентов в январе-апреле 2026 года стали LADA GRANTA, BELGEE X50,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LARGUS</w:t>
      </w:r>
      <w:r w:rsidRPr="00646901">
        <w:rPr>
          <w:rFonts w:cstheme="majorHAnsi"/>
          <w:sz w:val="20"/>
          <w:szCs w:val="20"/>
        </w:rPr>
        <w:t xml:space="preserve">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VESTA</w:t>
      </w:r>
      <w:r w:rsidRPr="00646901">
        <w:rPr>
          <w:rFonts w:cstheme="majorHAnsi"/>
          <w:sz w:val="20"/>
          <w:szCs w:val="20"/>
        </w:rPr>
        <w:t xml:space="preserve"> и </w:t>
      </w:r>
      <w:r w:rsidRPr="00646901">
        <w:rPr>
          <w:rFonts w:cstheme="majorHAnsi"/>
          <w:sz w:val="20"/>
          <w:szCs w:val="20"/>
          <w:lang w:val="en-US"/>
        </w:rPr>
        <w:t>HAVAL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JOLION</w:t>
      </w:r>
      <w:r w:rsidRPr="00646901">
        <w:rPr>
          <w:rFonts w:cstheme="majorHAnsi"/>
          <w:sz w:val="20"/>
          <w:szCs w:val="20"/>
        </w:rPr>
        <w:t xml:space="preserve">. С шестого по десятое место заняли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7, </w:t>
      </w:r>
      <w:r w:rsidRPr="00646901">
        <w:rPr>
          <w:rFonts w:cstheme="majorHAnsi"/>
          <w:sz w:val="20"/>
          <w:szCs w:val="20"/>
          <w:lang w:val="en-US"/>
        </w:rPr>
        <w:t>CHERY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ARRIZO</w:t>
      </w:r>
      <w:r w:rsidRPr="00646901">
        <w:rPr>
          <w:rFonts w:cstheme="majorHAnsi"/>
          <w:sz w:val="20"/>
          <w:szCs w:val="20"/>
        </w:rPr>
        <w:t xml:space="preserve"> 8, </w:t>
      </w:r>
      <w:r w:rsidRPr="00646901">
        <w:rPr>
          <w:rFonts w:cstheme="majorHAnsi"/>
          <w:sz w:val="20"/>
          <w:szCs w:val="20"/>
          <w:lang w:val="en-US"/>
        </w:rPr>
        <w:t>FAW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BESTUNE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77,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4,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NIVA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TRAVEL</w:t>
      </w:r>
      <w:r w:rsidRPr="00646901">
        <w:rPr>
          <w:rFonts w:cstheme="majorHAnsi"/>
          <w:sz w:val="20"/>
          <w:szCs w:val="20"/>
        </w:rPr>
        <w:t>.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 </w:t>
      </w:r>
    </w:p>
    <w:p w14:paraId="79A6A8BF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  <w:u w:val="single"/>
        </w:rPr>
      </w:pPr>
      <w:r w:rsidRPr="00646901">
        <w:rPr>
          <w:rFonts w:cstheme="majorHAnsi"/>
          <w:b/>
          <w:sz w:val="20"/>
          <w:szCs w:val="20"/>
          <w:u w:val="single"/>
        </w:rPr>
        <w:t>Итоги апреля 2026</w:t>
      </w:r>
    </w:p>
    <w:p w14:paraId="09A4AAE4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апреле 2026 года представители бизнеса оформили в лизинг 12,9 тыс. новых и подержанных легковых автомобилей, что на 19,1% меньше, чем в апреле 2025 года. На первичном рынке сделки сократились на 26,2%, до 9,6 тыс. автомобилей, на вторичном подросли на 13,3%, до 3,3 тыс. автомобилей. При этом апрель стал лучшим месяцем 2026 года по количеству реализованных в лизинг легковых автомобилей. </w:t>
      </w:r>
    </w:p>
    <w:p w14:paraId="0D3C97EA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ТОП-5 по выдаче в лизинг в апреле вошли марки LADA (доля 24,4% от всех продаж),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(8,4%), </w:t>
      </w:r>
      <w:r w:rsidRPr="00646901">
        <w:rPr>
          <w:rFonts w:cstheme="majorHAnsi"/>
          <w:sz w:val="20"/>
          <w:szCs w:val="20"/>
          <w:lang w:val="en-US"/>
        </w:rPr>
        <w:t>HAVAL</w:t>
      </w:r>
      <w:r w:rsidRPr="00646901">
        <w:rPr>
          <w:rFonts w:cstheme="majorHAnsi"/>
          <w:sz w:val="20"/>
          <w:szCs w:val="20"/>
        </w:rPr>
        <w:t xml:space="preserve"> (7,5%), JAECOO (4,6%),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 xml:space="preserve"> (4,5%). Растет популярность марок</w:t>
      </w:r>
      <w:r w:rsidRPr="00646901">
        <w:rPr>
          <w:rFonts w:cstheme="majorHAnsi"/>
          <w:color w:val="000000"/>
          <w:sz w:val="20"/>
          <w:szCs w:val="20"/>
        </w:rPr>
        <w:t xml:space="preserve">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JAECOO (+193,0%), </w:t>
      </w:r>
      <w:r w:rsidRPr="00646901">
        <w:rPr>
          <w:rFonts w:cstheme="majorHAnsi"/>
          <w:sz w:val="20"/>
          <w:szCs w:val="20"/>
        </w:rPr>
        <w:t xml:space="preserve">FAW (+477,8%) и VOYAH (+221,8%). Пятерка лидеров среди новых автомобилей похожа на общий топ, однако в не вошли JAECOO и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>, их места заняли BELGEE и FAW. ТОП-5 подержанных легковых автомобилей составили LADA, JAECOO, HAVAL, MERCEDES-BENZ и BMW.</w:t>
      </w:r>
    </w:p>
    <w:p w14:paraId="689CB07D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модельном зачете апреля лидерские позиции заняли LADA GRANTA,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LARGUS</w:t>
      </w:r>
      <w:r w:rsidRPr="00646901">
        <w:rPr>
          <w:rFonts w:cstheme="majorHAnsi"/>
          <w:sz w:val="20"/>
          <w:szCs w:val="20"/>
        </w:rPr>
        <w:t xml:space="preserve">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VESTA</w:t>
      </w:r>
      <w:r w:rsidRPr="00646901">
        <w:rPr>
          <w:rFonts w:cstheme="majorHAnsi"/>
          <w:sz w:val="20"/>
          <w:szCs w:val="20"/>
        </w:rPr>
        <w:t xml:space="preserve"> и JAECOO J7.</w:t>
      </w:r>
    </w:p>
    <w:p w14:paraId="5E2BAC5C" w14:textId="38852681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 «Результат апреля по лизингу и новых, и подержанных легковых автомобилей был лучшим в 2026 году, тем не менее общие итоги января-апреля чуть ниже, чем в не самом благоприятном 2025 году, прежде всего за счет существенного снижения лизинга новых автомобилей. Стоит отметить, что корпоративные клиенты чувствуют себя хуже, чем частные покупатели. Так, </w:t>
      </w:r>
      <w:r>
        <w:rPr>
          <w:rFonts w:cstheme="majorHAnsi"/>
          <w:sz w:val="20"/>
          <w:szCs w:val="20"/>
        </w:rPr>
        <w:t xml:space="preserve">за четыре месяца </w:t>
      </w:r>
      <w:r w:rsidRPr="00646901">
        <w:rPr>
          <w:rFonts w:cstheme="majorHAnsi"/>
          <w:sz w:val="20"/>
          <w:szCs w:val="20"/>
        </w:rPr>
        <w:t xml:space="preserve">текущего года продажи новых автомобилей корпоративным клиентам без учета лизинга упали на 20%, тогда как продажи частным покупателям выросли. На клиентах лизинговых компаний сказались и повышение налоговой нагрузки в 2025-2026 годах, и охлаждение экономики, часть компаний приобрела автомобили в прошлом году, опасаясь роста </w:t>
      </w:r>
      <w:r w:rsidRPr="00646901">
        <w:rPr>
          <w:rFonts w:cstheme="majorHAnsi"/>
          <w:sz w:val="20"/>
          <w:szCs w:val="20"/>
        </w:rPr>
        <w:lastRenderedPageBreak/>
        <w:t xml:space="preserve">цен из-за изменения </w:t>
      </w:r>
      <w:proofErr w:type="spellStart"/>
      <w:r w:rsidRPr="00646901">
        <w:rPr>
          <w:rFonts w:cstheme="majorHAnsi"/>
          <w:sz w:val="20"/>
          <w:szCs w:val="20"/>
        </w:rPr>
        <w:t>утильсбора</w:t>
      </w:r>
      <w:proofErr w:type="spellEnd"/>
      <w:r w:rsidRPr="00646901">
        <w:rPr>
          <w:rFonts w:cstheme="majorHAnsi"/>
          <w:sz w:val="20"/>
          <w:szCs w:val="20"/>
        </w:rPr>
        <w:t xml:space="preserve">, увеличения НДС. Бессменным лидером как в лизинге новых, так и подержанных машин остается LADA, как самый доступный автомобиль», – отметила </w:t>
      </w:r>
      <w:r w:rsidRPr="00646901">
        <w:rPr>
          <w:rFonts w:cstheme="majorHAnsi"/>
          <w:b/>
          <w:sz w:val="20"/>
          <w:szCs w:val="20"/>
        </w:rPr>
        <w:t xml:space="preserve">генеральный директор НАПИ Татьяна Арабаджи. </w:t>
      </w:r>
    </w:p>
    <w:p w14:paraId="4C80366A" w14:textId="3B290F3F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«Тренд на рост доли лизинговой техники с пробегом продолжается до сих пор, причем именно он нивелирует на сегодня общее падение по новому бизнесу в сегменте </w:t>
      </w:r>
      <w:proofErr w:type="spellStart"/>
      <w:r w:rsidRPr="00646901">
        <w:rPr>
          <w:rFonts w:cstheme="majorHAnsi"/>
          <w:sz w:val="20"/>
          <w:szCs w:val="20"/>
        </w:rPr>
        <w:t>автолизинга</w:t>
      </w:r>
      <w:proofErr w:type="spellEnd"/>
      <w:r w:rsidRPr="00646901">
        <w:rPr>
          <w:rFonts w:cstheme="majorHAnsi"/>
          <w:sz w:val="20"/>
          <w:szCs w:val="20"/>
        </w:rPr>
        <w:t xml:space="preserve">. Среди причин – большая доступность и привлекательная стоимость техники пробегом в условиях все еще высокой ставки ЦБ и широкий выбор техники с пробегом из собственных автопарков лизинговых компаний, - отметил </w:t>
      </w:r>
      <w:r w:rsidRPr="00646901">
        <w:rPr>
          <w:rFonts w:cstheme="majorHAnsi"/>
          <w:b/>
          <w:sz w:val="20"/>
          <w:szCs w:val="20"/>
        </w:rPr>
        <w:t>директор д</w:t>
      </w:r>
      <w:r>
        <w:rPr>
          <w:rFonts w:cstheme="majorHAnsi"/>
          <w:b/>
          <w:sz w:val="20"/>
          <w:szCs w:val="20"/>
        </w:rPr>
        <w:t xml:space="preserve">епартамента продаж Газпромбанк </w:t>
      </w:r>
      <w:proofErr w:type="spellStart"/>
      <w:r>
        <w:rPr>
          <w:rFonts w:cstheme="majorHAnsi"/>
          <w:b/>
          <w:sz w:val="20"/>
          <w:szCs w:val="20"/>
        </w:rPr>
        <w:t>А</w:t>
      </w:r>
      <w:r w:rsidRPr="00646901">
        <w:rPr>
          <w:rFonts w:cstheme="majorHAnsi"/>
          <w:b/>
          <w:sz w:val="20"/>
          <w:szCs w:val="20"/>
        </w:rPr>
        <w:t>втолизинг</w:t>
      </w:r>
      <w:proofErr w:type="spellEnd"/>
      <w:r w:rsidRPr="00646901">
        <w:rPr>
          <w:rFonts w:cstheme="majorHAnsi"/>
          <w:b/>
          <w:sz w:val="20"/>
          <w:szCs w:val="20"/>
        </w:rPr>
        <w:t xml:space="preserve"> Николай Фомин</w:t>
      </w:r>
      <w:r>
        <w:rPr>
          <w:rFonts w:cstheme="majorHAnsi"/>
          <w:sz w:val="20"/>
          <w:szCs w:val="20"/>
        </w:rPr>
        <w:t>. – С</w:t>
      </w:r>
      <w:r w:rsidRPr="00646901">
        <w:rPr>
          <w:rFonts w:cstheme="majorHAnsi"/>
          <w:sz w:val="20"/>
          <w:szCs w:val="20"/>
        </w:rPr>
        <w:t xml:space="preserve">прос на подержанную технику в этом году будет все еще высоким. И начнет снижаться по мере дальнейшего уменьшения ключевой ставки и реализации на этом фоне отложенного спроса на новую технику со стороны бизнеса». </w:t>
      </w:r>
    </w:p>
    <w:p w14:paraId="6DB4570C" w14:textId="7C4C5BE4" w:rsidR="00646901" w:rsidRDefault="00646901" w:rsidP="00646901">
      <w:pPr>
        <w:spacing w:after="0" w:line="240" w:lineRule="auto"/>
        <w:jc w:val="both"/>
        <w:rPr>
          <w:rFonts w:cstheme="majorHAnsi"/>
          <w:b/>
          <w:sz w:val="16"/>
          <w:szCs w:val="16"/>
        </w:rPr>
      </w:pPr>
      <w:r w:rsidRPr="00646901">
        <w:rPr>
          <w:rFonts w:cstheme="majorHAnsi"/>
          <w:b/>
          <w:sz w:val="16"/>
          <w:szCs w:val="16"/>
        </w:rPr>
        <w:t xml:space="preserve">Лизинг* новых и подержанных легковых автомобилей, тыс. шт.  </w:t>
      </w:r>
    </w:p>
    <w:p w14:paraId="186E2FC5" w14:textId="77777777" w:rsidR="00646901" w:rsidRPr="00646901" w:rsidRDefault="00646901" w:rsidP="00646901">
      <w:pPr>
        <w:spacing w:after="0" w:line="240" w:lineRule="auto"/>
        <w:jc w:val="both"/>
        <w:rPr>
          <w:rFonts w:cstheme="majorHAnsi"/>
          <w:b/>
          <w:sz w:val="16"/>
          <w:szCs w:val="16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456"/>
        <w:gridCol w:w="1457"/>
        <w:gridCol w:w="1456"/>
        <w:gridCol w:w="1457"/>
        <w:gridCol w:w="1456"/>
        <w:gridCol w:w="1457"/>
        <w:gridCol w:w="1457"/>
      </w:tblGrid>
      <w:tr w:rsidR="00646901" w:rsidRPr="00646901" w14:paraId="1221FFCF" w14:textId="77777777" w:rsidTr="00646901">
        <w:trPr>
          <w:trHeight w:val="20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5FB2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EB6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2025 (01-04)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E28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2026 (01-04)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FE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Динамика 2026/2025 (01-04)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5FE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2025 (04)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2C0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2026 (04)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4CC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Динамика 2026/2025 (04)</w:t>
            </w:r>
          </w:p>
        </w:tc>
      </w:tr>
      <w:tr w:rsidR="00646901" w:rsidRPr="00646901" w14:paraId="5543CCFB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566E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sz w:val="16"/>
                <w:szCs w:val="16"/>
              </w:rPr>
            </w:pPr>
            <w:r w:rsidRPr="00646901">
              <w:rPr>
                <w:rFonts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969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4C5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3FC9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32,5%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E1B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4B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015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13,3%</w:t>
            </w:r>
          </w:p>
        </w:tc>
      </w:tr>
      <w:tr w:rsidR="00646901" w:rsidRPr="00646901" w14:paraId="48E58F96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8E87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sz w:val="16"/>
                <w:szCs w:val="16"/>
              </w:rPr>
            </w:pPr>
            <w:r w:rsidRPr="00646901">
              <w:rPr>
                <w:rFonts w:cstheme="majorHAnsi"/>
                <w:sz w:val="16"/>
                <w:szCs w:val="16"/>
              </w:rPr>
              <w:t>Новые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A69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9925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FE8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-10,3%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4674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CB2C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3A91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-26,2%</w:t>
            </w:r>
          </w:p>
        </w:tc>
      </w:tr>
      <w:tr w:rsidR="00646901" w:rsidRPr="00646901" w14:paraId="4BD12F74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C24F33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652BF9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54BE22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0EED8E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BC13D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51DBDF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CDFC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color w:val="000000"/>
                <w:sz w:val="16"/>
                <w:szCs w:val="16"/>
              </w:rPr>
              <w:t>-19,1%</w:t>
            </w:r>
          </w:p>
        </w:tc>
      </w:tr>
    </w:tbl>
    <w:p w14:paraId="61B77770" w14:textId="77777777" w:rsidR="0016193E" w:rsidRDefault="0016193E" w:rsidP="00646901">
      <w:pPr>
        <w:spacing w:after="0" w:line="240" w:lineRule="auto"/>
        <w:jc w:val="both"/>
        <w:rPr>
          <w:rFonts w:cstheme="majorHAnsi"/>
          <w:sz w:val="16"/>
          <w:szCs w:val="16"/>
        </w:rPr>
      </w:pPr>
    </w:p>
    <w:p w14:paraId="1462B804" w14:textId="7F685CA7" w:rsidR="00646901" w:rsidRDefault="00646901" w:rsidP="00646901">
      <w:pPr>
        <w:spacing w:after="0" w:line="240" w:lineRule="auto"/>
        <w:jc w:val="both"/>
        <w:rPr>
          <w:rFonts w:cstheme="majorHAnsi"/>
          <w:sz w:val="16"/>
          <w:szCs w:val="16"/>
        </w:rPr>
      </w:pPr>
      <w:r w:rsidRPr="00646901">
        <w:rPr>
          <w:rFonts w:cstheme="majorHAnsi"/>
          <w:sz w:val="16"/>
          <w:szCs w:val="16"/>
        </w:rPr>
        <w:t xml:space="preserve">Источник данных: НАПИ  </w:t>
      </w:r>
    </w:p>
    <w:p w14:paraId="7B7052E0" w14:textId="61C66D79" w:rsidR="00646901" w:rsidRPr="00646901" w:rsidRDefault="00646901" w:rsidP="00646901">
      <w:pPr>
        <w:spacing w:after="0" w:line="240" w:lineRule="auto"/>
        <w:jc w:val="both"/>
        <w:rPr>
          <w:rFonts w:cstheme="majorHAnsi"/>
          <w:sz w:val="16"/>
          <w:szCs w:val="16"/>
        </w:rPr>
      </w:pPr>
      <w:r w:rsidRPr="00646901">
        <w:rPr>
          <w:rFonts w:cstheme="majorHAnsi"/>
          <w:sz w:val="16"/>
          <w:szCs w:val="16"/>
        </w:rPr>
        <w:t xml:space="preserve">* операционный и финансовый лизинг </w:t>
      </w:r>
    </w:p>
    <w:p w14:paraId="4CC5285A" w14:textId="39ADDAB1" w:rsidR="0068490E" w:rsidRPr="00FA4FD9" w:rsidRDefault="0068490E" w:rsidP="00FA4FD9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</w:p>
    <w:sectPr w:rsidR="0068490E" w:rsidRPr="00FA4FD9" w:rsidSect="0016193E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8900" w14:textId="77777777" w:rsidR="00457D3C" w:rsidRDefault="00457D3C" w:rsidP="00CA407B">
      <w:pPr>
        <w:spacing w:after="0" w:line="240" w:lineRule="auto"/>
      </w:pPr>
      <w:r>
        <w:separator/>
      </w:r>
    </w:p>
  </w:endnote>
  <w:endnote w:type="continuationSeparator" w:id="0">
    <w:p w14:paraId="1217411C" w14:textId="77777777" w:rsidR="00457D3C" w:rsidRDefault="00457D3C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5A53" w14:textId="77777777" w:rsidR="00457D3C" w:rsidRDefault="00457D3C" w:rsidP="00CA407B">
      <w:pPr>
        <w:spacing w:after="0" w:line="240" w:lineRule="auto"/>
      </w:pPr>
      <w:r>
        <w:separator/>
      </w:r>
    </w:p>
  </w:footnote>
  <w:footnote w:type="continuationSeparator" w:id="0">
    <w:p w14:paraId="2F7C45D3" w14:textId="77777777" w:rsidR="00457D3C" w:rsidRDefault="00457D3C" w:rsidP="00CA4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75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193E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D7B93"/>
    <w:rsid w:val="001E04AA"/>
    <w:rsid w:val="001E0981"/>
    <w:rsid w:val="001E0DB8"/>
    <w:rsid w:val="001E23BA"/>
    <w:rsid w:val="001E3864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77420"/>
    <w:rsid w:val="00280F04"/>
    <w:rsid w:val="0028463E"/>
    <w:rsid w:val="002847CB"/>
    <w:rsid w:val="0029239D"/>
    <w:rsid w:val="0029501F"/>
    <w:rsid w:val="00296897"/>
    <w:rsid w:val="00296BB8"/>
    <w:rsid w:val="002A17F7"/>
    <w:rsid w:val="002A330A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4AAA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36B4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879E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B7D71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1E33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57D3C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28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551F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46901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2D5F"/>
    <w:rsid w:val="00745F54"/>
    <w:rsid w:val="00745FB1"/>
    <w:rsid w:val="00747FED"/>
    <w:rsid w:val="00750119"/>
    <w:rsid w:val="00757506"/>
    <w:rsid w:val="00757FCA"/>
    <w:rsid w:val="00760EEC"/>
    <w:rsid w:val="007629A3"/>
    <w:rsid w:val="00765441"/>
    <w:rsid w:val="00766298"/>
    <w:rsid w:val="00771A5F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11482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3ABE"/>
    <w:rsid w:val="00A64A91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E6A51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57A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52E2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D775D"/>
    <w:rsid w:val="00CE1EBC"/>
    <w:rsid w:val="00CE27AF"/>
    <w:rsid w:val="00CE2BC5"/>
    <w:rsid w:val="00CF0E9B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C27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30D"/>
    <w:rsid w:val="00DD2C2E"/>
    <w:rsid w:val="00DD3FF6"/>
    <w:rsid w:val="00DD5922"/>
    <w:rsid w:val="00DD6504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07CD0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136"/>
    <w:rsid w:val="00E66AC7"/>
    <w:rsid w:val="00E70A66"/>
    <w:rsid w:val="00E75B8C"/>
    <w:rsid w:val="00E75D4E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B7AB4"/>
    <w:rsid w:val="00EC2709"/>
    <w:rsid w:val="00ED1D05"/>
    <w:rsid w:val="00ED3ABA"/>
    <w:rsid w:val="00ED51FC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1701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4FD9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570D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B31B-600C-4723-A45A-94B01BFC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2026-05-28T09:36:00Z</dcterms:created>
  <dcterms:modified xsi:type="dcterms:W3CDTF">2026-05-28T09:36:00Z</dcterms:modified>
</cp:coreProperties>
</file>