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A3DD9" w14:textId="07D1A61C" w:rsidR="00A9718C" w:rsidRPr="00D35FB6" w:rsidRDefault="00A9718C" w:rsidP="00D35FB6">
      <w:pPr>
        <w:spacing w:line="240" w:lineRule="auto"/>
        <w:rPr>
          <w:rFonts w:asciiTheme="majorHAnsi" w:hAnsiTheme="majorHAnsi" w:cstheme="majorHAnsi"/>
          <w:b/>
          <w:sz w:val="24"/>
        </w:rPr>
      </w:pPr>
      <w:r w:rsidRPr="00D35FB6">
        <w:rPr>
          <w:rFonts w:asciiTheme="majorHAnsi" w:hAnsiTheme="majorHAnsi" w:cstheme="majorHAnsi"/>
          <w:noProof/>
          <w:lang w:eastAsia="ru-RU"/>
        </w:rPr>
        <w:drawing>
          <wp:inline distT="0" distB="0" distL="0" distR="0" wp14:anchorId="10DE2903" wp14:editId="35D80B57">
            <wp:extent cx="998486" cy="583020"/>
            <wp:effectExtent l="0" t="0" r="0" b="7620"/>
            <wp:docPr id="3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8486" cy="583020"/>
                    </a:xfrm>
                    <a:prstGeom prst="rect">
                      <a:avLst/>
                    </a:prstGeom>
                  </pic:spPr>
                </pic:pic>
              </a:graphicData>
            </a:graphic>
          </wp:inline>
        </w:drawing>
      </w:r>
    </w:p>
    <w:p w14:paraId="6D90A208" w14:textId="07DD2357" w:rsidR="00E8718F" w:rsidRPr="00D35FB6" w:rsidRDefault="00EF30BF" w:rsidP="004036DF">
      <w:pPr>
        <w:spacing w:before="240" w:after="360" w:line="240" w:lineRule="auto"/>
        <w:jc w:val="center"/>
        <w:rPr>
          <w:rFonts w:asciiTheme="majorHAnsi" w:hAnsiTheme="majorHAnsi" w:cstheme="majorHAnsi"/>
          <w:b/>
          <w:bCs/>
          <w:color w:val="C00000"/>
          <w:sz w:val="28"/>
          <w:szCs w:val="24"/>
        </w:rPr>
      </w:pPr>
      <w:r w:rsidRPr="00D35FB6">
        <w:rPr>
          <w:rFonts w:asciiTheme="majorHAnsi" w:hAnsiTheme="majorHAnsi" w:cstheme="majorHAnsi"/>
          <w:b/>
          <w:bCs/>
          <w:color w:val="C00000"/>
          <w:sz w:val="28"/>
          <w:szCs w:val="24"/>
        </w:rPr>
        <w:t>Финансовая емкость рынка грузовых автомобилей</w:t>
      </w:r>
    </w:p>
    <w:p w14:paraId="25294C49" w14:textId="745E8888" w:rsidR="00EB218C" w:rsidRPr="00D35FB6" w:rsidRDefault="00EB218C" w:rsidP="004036DF">
      <w:pPr>
        <w:spacing w:line="240" w:lineRule="auto"/>
        <w:rPr>
          <w:rFonts w:asciiTheme="majorHAnsi" w:hAnsiTheme="majorHAnsi" w:cstheme="majorHAnsi"/>
          <w:sz w:val="24"/>
          <w:szCs w:val="24"/>
        </w:rPr>
      </w:pPr>
      <w:bookmarkStart w:id="0" w:name="_Hlk232430428"/>
      <w:r w:rsidRPr="00D35FB6">
        <w:rPr>
          <w:rFonts w:asciiTheme="majorHAnsi" w:hAnsiTheme="majorHAnsi" w:cstheme="majorHAnsi"/>
          <w:sz w:val="24"/>
          <w:szCs w:val="24"/>
        </w:rPr>
        <w:t xml:space="preserve">Маркетинговое агентство </w:t>
      </w:r>
      <w:r w:rsidRPr="00D35FB6">
        <w:rPr>
          <w:rFonts w:asciiTheme="majorHAnsi" w:hAnsiTheme="majorHAnsi" w:cstheme="majorHAnsi"/>
          <w:b/>
          <w:sz w:val="24"/>
          <w:szCs w:val="24"/>
        </w:rPr>
        <w:t>НАПИ</w:t>
      </w:r>
      <w:r w:rsidRPr="00D35FB6">
        <w:rPr>
          <w:rFonts w:asciiTheme="majorHAnsi" w:hAnsiTheme="majorHAnsi" w:cstheme="majorHAnsi"/>
          <w:sz w:val="24"/>
          <w:szCs w:val="24"/>
        </w:rPr>
        <w:t xml:space="preserve"> и </w:t>
      </w:r>
      <w:r w:rsidRPr="00D35FB6">
        <w:rPr>
          <w:rFonts w:asciiTheme="majorHAnsi" w:hAnsiTheme="majorHAnsi" w:cstheme="majorHAnsi"/>
          <w:b/>
          <w:bCs/>
          <w:sz w:val="24"/>
          <w:szCs w:val="24"/>
        </w:rPr>
        <w:t xml:space="preserve">Евгений Курбакин, директор Департамента продаж лизинговой компании </w:t>
      </w:r>
      <w:r w:rsidRPr="00D35FB6">
        <w:rPr>
          <w:rFonts w:asciiTheme="majorHAnsi" w:hAnsiTheme="majorHAnsi" w:cstheme="majorHAnsi"/>
          <w:b/>
          <w:bCs/>
          <w:sz w:val="24"/>
          <w:szCs w:val="24"/>
          <w:lang w:val="en-US"/>
        </w:rPr>
        <w:t>CARCADE</w:t>
      </w:r>
      <w:r w:rsidR="005A6682" w:rsidRPr="00D35FB6">
        <w:rPr>
          <w:rFonts w:asciiTheme="majorHAnsi" w:hAnsiTheme="majorHAnsi" w:cstheme="majorHAnsi"/>
          <w:b/>
          <w:bCs/>
          <w:sz w:val="24"/>
          <w:szCs w:val="24"/>
        </w:rPr>
        <w:t>,</w:t>
      </w:r>
      <w:r w:rsidRPr="00D35FB6">
        <w:rPr>
          <w:rFonts w:asciiTheme="majorHAnsi" w:hAnsiTheme="majorHAnsi" w:cstheme="majorHAnsi"/>
          <w:b/>
          <w:bCs/>
          <w:sz w:val="24"/>
          <w:szCs w:val="24"/>
        </w:rPr>
        <w:t xml:space="preserve"> </w:t>
      </w:r>
      <w:r w:rsidRPr="00D35FB6">
        <w:rPr>
          <w:rFonts w:asciiTheme="majorHAnsi" w:hAnsiTheme="majorHAnsi" w:cstheme="majorHAnsi"/>
          <w:bCs/>
          <w:sz w:val="24"/>
          <w:szCs w:val="24"/>
        </w:rPr>
        <w:t>обсудили</w:t>
      </w:r>
      <w:r w:rsidRPr="00D35FB6">
        <w:rPr>
          <w:rFonts w:asciiTheme="majorHAnsi" w:hAnsiTheme="majorHAnsi" w:cstheme="majorHAnsi"/>
          <w:sz w:val="24"/>
          <w:szCs w:val="24"/>
        </w:rPr>
        <w:t xml:space="preserve"> состояние рынка лизинга грузовых автомобилей и финансовую емкость данного рынка. </w:t>
      </w:r>
    </w:p>
    <w:p w14:paraId="339EEBF4" w14:textId="20C4D348" w:rsidR="00975FAE" w:rsidRPr="00D35FB6" w:rsidRDefault="000B2601" w:rsidP="004036DF">
      <w:pPr>
        <w:shd w:val="clear" w:color="auto" w:fill="FBE4D5" w:themeFill="accent2" w:themeFillTint="33"/>
        <w:spacing w:line="240" w:lineRule="auto"/>
        <w:jc w:val="both"/>
        <w:rPr>
          <w:rFonts w:asciiTheme="majorHAnsi" w:hAnsiTheme="majorHAnsi" w:cstheme="majorHAnsi"/>
          <w:sz w:val="24"/>
          <w:szCs w:val="24"/>
        </w:rPr>
      </w:pPr>
      <w:r w:rsidRPr="00D35FB6">
        <w:rPr>
          <w:rFonts w:asciiTheme="majorHAnsi" w:hAnsiTheme="majorHAnsi" w:cstheme="majorHAnsi"/>
          <w:sz w:val="24"/>
          <w:szCs w:val="24"/>
        </w:rPr>
        <w:t>По данным НАПИ</w:t>
      </w:r>
      <w:r w:rsidR="00C23919" w:rsidRPr="00D35FB6">
        <w:rPr>
          <w:rFonts w:asciiTheme="majorHAnsi" w:hAnsiTheme="majorHAnsi" w:cstheme="majorHAnsi"/>
          <w:sz w:val="24"/>
          <w:szCs w:val="24"/>
        </w:rPr>
        <w:t>,</w:t>
      </w:r>
      <w:r w:rsidRPr="00D35FB6">
        <w:rPr>
          <w:rFonts w:asciiTheme="majorHAnsi" w:hAnsiTheme="majorHAnsi" w:cstheme="majorHAnsi"/>
          <w:sz w:val="24"/>
          <w:szCs w:val="24"/>
        </w:rPr>
        <w:t xml:space="preserve"> в</w:t>
      </w:r>
      <w:r w:rsidR="00271526" w:rsidRPr="00D35FB6">
        <w:rPr>
          <w:rFonts w:asciiTheme="majorHAnsi" w:hAnsiTheme="majorHAnsi" w:cstheme="majorHAnsi"/>
          <w:sz w:val="24"/>
          <w:szCs w:val="24"/>
        </w:rPr>
        <w:t xml:space="preserve"> январе-мае 2026 года продажи новых грузовых автомобилей сократились на </w:t>
      </w:r>
      <w:r w:rsidR="00FF4EC2" w:rsidRPr="00D35FB6">
        <w:rPr>
          <w:rFonts w:asciiTheme="majorHAnsi" w:hAnsiTheme="majorHAnsi" w:cstheme="majorHAnsi"/>
          <w:sz w:val="24"/>
          <w:szCs w:val="24"/>
        </w:rPr>
        <w:t>18,9</w:t>
      </w:r>
      <w:r w:rsidR="00271526" w:rsidRPr="00D35FB6">
        <w:rPr>
          <w:rFonts w:asciiTheme="majorHAnsi" w:hAnsiTheme="majorHAnsi" w:cstheme="majorHAnsi"/>
          <w:sz w:val="24"/>
          <w:szCs w:val="24"/>
        </w:rPr>
        <w:t>% и составил</w:t>
      </w:r>
      <w:r w:rsidR="00435219" w:rsidRPr="00D35FB6">
        <w:rPr>
          <w:rFonts w:asciiTheme="majorHAnsi" w:hAnsiTheme="majorHAnsi" w:cstheme="majorHAnsi"/>
          <w:sz w:val="24"/>
          <w:szCs w:val="24"/>
        </w:rPr>
        <w:t>и</w:t>
      </w:r>
      <w:r w:rsidR="00271526" w:rsidRPr="00D35FB6">
        <w:rPr>
          <w:rFonts w:asciiTheme="majorHAnsi" w:hAnsiTheme="majorHAnsi" w:cstheme="majorHAnsi"/>
          <w:sz w:val="24"/>
          <w:szCs w:val="24"/>
        </w:rPr>
        <w:t xml:space="preserve"> </w:t>
      </w:r>
      <w:r w:rsidR="00FF4EC2" w:rsidRPr="00D35FB6">
        <w:rPr>
          <w:rFonts w:asciiTheme="majorHAnsi" w:hAnsiTheme="majorHAnsi" w:cstheme="majorHAnsi"/>
          <w:sz w:val="24"/>
          <w:szCs w:val="24"/>
        </w:rPr>
        <w:t>20,1</w:t>
      </w:r>
      <w:r w:rsidR="00271526" w:rsidRPr="00D35FB6">
        <w:rPr>
          <w:rFonts w:asciiTheme="majorHAnsi" w:hAnsiTheme="majorHAnsi" w:cstheme="majorHAnsi"/>
          <w:sz w:val="24"/>
          <w:szCs w:val="24"/>
        </w:rPr>
        <w:t xml:space="preserve"> тыс. ед. Из общего объема продаж </w:t>
      </w:r>
      <w:r w:rsidR="00FF4EC2" w:rsidRPr="00D35FB6">
        <w:rPr>
          <w:rFonts w:asciiTheme="majorHAnsi" w:hAnsiTheme="majorHAnsi" w:cstheme="majorHAnsi"/>
          <w:sz w:val="24"/>
          <w:szCs w:val="24"/>
        </w:rPr>
        <w:t>9,6</w:t>
      </w:r>
      <w:r w:rsidR="00271526" w:rsidRPr="00D35FB6">
        <w:rPr>
          <w:rFonts w:asciiTheme="majorHAnsi" w:hAnsiTheme="majorHAnsi" w:cstheme="majorHAnsi"/>
          <w:sz w:val="24"/>
          <w:szCs w:val="24"/>
        </w:rPr>
        <w:t xml:space="preserve"> тыс. ед. грузовиков были выданы в лизинг, по сравнению с прошлым годом лизинг снизился на </w:t>
      </w:r>
      <w:r w:rsidR="00FF4EC2" w:rsidRPr="00D35FB6">
        <w:rPr>
          <w:rFonts w:asciiTheme="majorHAnsi" w:hAnsiTheme="majorHAnsi" w:cstheme="majorHAnsi"/>
          <w:sz w:val="24"/>
          <w:szCs w:val="24"/>
        </w:rPr>
        <w:t>6,5</w:t>
      </w:r>
      <w:r w:rsidR="00271526" w:rsidRPr="00D35FB6">
        <w:rPr>
          <w:rFonts w:asciiTheme="majorHAnsi" w:hAnsiTheme="majorHAnsi" w:cstheme="majorHAnsi"/>
          <w:sz w:val="24"/>
          <w:szCs w:val="24"/>
        </w:rPr>
        <w:t>%.</w:t>
      </w:r>
      <w:r w:rsidR="007B0F15" w:rsidRPr="00D35FB6">
        <w:rPr>
          <w:rFonts w:asciiTheme="majorHAnsi" w:hAnsiTheme="majorHAnsi" w:cstheme="majorHAnsi"/>
          <w:sz w:val="24"/>
          <w:szCs w:val="24"/>
        </w:rPr>
        <w:t xml:space="preserve"> Остальные 10,5 тыс. ед. грузовых автомобилей были реализованы иным способом</w:t>
      </w:r>
      <w:r w:rsidR="009C0E3F" w:rsidRPr="00D35FB6">
        <w:rPr>
          <w:rFonts w:asciiTheme="majorHAnsi" w:hAnsiTheme="majorHAnsi" w:cstheme="majorHAnsi"/>
          <w:sz w:val="24"/>
          <w:szCs w:val="24"/>
        </w:rPr>
        <w:t xml:space="preserve"> (кредит, собственные средства)</w:t>
      </w:r>
      <w:r w:rsidR="00975FAE" w:rsidRPr="00D35FB6">
        <w:rPr>
          <w:rFonts w:asciiTheme="majorHAnsi" w:hAnsiTheme="majorHAnsi" w:cstheme="majorHAnsi"/>
          <w:sz w:val="24"/>
          <w:szCs w:val="24"/>
        </w:rPr>
        <w:t xml:space="preserve">. </w:t>
      </w:r>
      <w:r w:rsidR="009C0E3F" w:rsidRPr="00D35FB6">
        <w:rPr>
          <w:rFonts w:asciiTheme="majorHAnsi" w:hAnsiTheme="majorHAnsi" w:cstheme="majorHAnsi"/>
          <w:sz w:val="24"/>
          <w:szCs w:val="24"/>
        </w:rPr>
        <w:t>Эти п</w:t>
      </w:r>
      <w:r w:rsidR="00975FAE" w:rsidRPr="00D35FB6">
        <w:rPr>
          <w:rFonts w:asciiTheme="majorHAnsi" w:hAnsiTheme="majorHAnsi" w:cstheme="majorHAnsi"/>
          <w:sz w:val="24"/>
          <w:szCs w:val="24"/>
        </w:rPr>
        <w:t>родаж</w:t>
      </w:r>
      <w:r w:rsidR="009C0E3F" w:rsidRPr="00D35FB6">
        <w:rPr>
          <w:rFonts w:asciiTheme="majorHAnsi" w:hAnsiTheme="majorHAnsi" w:cstheme="majorHAnsi"/>
          <w:sz w:val="24"/>
          <w:szCs w:val="24"/>
        </w:rPr>
        <w:t xml:space="preserve">и </w:t>
      </w:r>
      <w:r w:rsidR="00A44CB8" w:rsidRPr="00D35FB6">
        <w:rPr>
          <w:rFonts w:asciiTheme="majorHAnsi" w:hAnsiTheme="majorHAnsi" w:cstheme="majorHAnsi"/>
          <w:sz w:val="24"/>
          <w:szCs w:val="24"/>
        </w:rPr>
        <w:t>просели сильнее – на 27,7%.</w:t>
      </w:r>
    </w:p>
    <w:p w14:paraId="09AA5B2C" w14:textId="287610D0" w:rsidR="000E27B8" w:rsidRPr="00D35FB6" w:rsidRDefault="000E27B8" w:rsidP="004036DF">
      <w:pPr>
        <w:spacing w:line="240" w:lineRule="auto"/>
        <w:jc w:val="center"/>
        <w:rPr>
          <w:rFonts w:asciiTheme="majorHAnsi" w:hAnsiTheme="majorHAnsi" w:cstheme="majorHAnsi"/>
          <w:b/>
          <w:bCs/>
          <w:sz w:val="24"/>
          <w:szCs w:val="24"/>
        </w:rPr>
      </w:pPr>
      <w:r w:rsidRPr="00D35FB6">
        <w:rPr>
          <w:rFonts w:asciiTheme="majorHAnsi" w:hAnsiTheme="majorHAnsi" w:cstheme="majorHAnsi"/>
          <w:b/>
          <w:bCs/>
          <w:sz w:val="24"/>
          <w:szCs w:val="24"/>
        </w:rPr>
        <w:t>Финансовая емкость рынка грузовых автомобилей</w:t>
      </w:r>
    </w:p>
    <w:tbl>
      <w:tblPr>
        <w:tblW w:w="9464" w:type="dxa"/>
        <w:tblCellMar>
          <w:left w:w="0" w:type="dxa"/>
          <w:right w:w="0" w:type="dxa"/>
        </w:tblCellMar>
        <w:tblLook w:val="0600" w:firstRow="0" w:lastRow="0" w:firstColumn="0" w:lastColumn="0" w:noHBand="1" w:noVBand="1"/>
      </w:tblPr>
      <w:tblGrid>
        <w:gridCol w:w="1644"/>
        <w:gridCol w:w="680"/>
        <w:gridCol w:w="680"/>
        <w:gridCol w:w="1020"/>
        <w:gridCol w:w="1020"/>
        <w:gridCol w:w="1020"/>
        <w:gridCol w:w="1020"/>
        <w:gridCol w:w="680"/>
        <w:gridCol w:w="680"/>
        <w:gridCol w:w="1020"/>
      </w:tblGrid>
      <w:tr w:rsidR="00BE7DC6" w:rsidRPr="00D35FB6" w14:paraId="3EEB6817" w14:textId="77777777" w:rsidTr="00355733">
        <w:trPr>
          <w:trHeight w:val="20"/>
        </w:trPr>
        <w:tc>
          <w:tcPr>
            <w:tcW w:w="1644" w:type="dxa"/>
            <w:vMerge w:val="restart"/>
            <w:tcBorders>
              <w:top w:val="single" w:sz="8" w:space="0" w:color="ED7D31"/>
              <w:left w:val="single" w:sz="8" w:space="0" w:color="ED7D31"/>
              <w:bottom w:val="single" w:sz="8" w:space="0" w:color="ED7D31"/>
              <w:right w:val="single" w:sz="8" w:space="0" w:color="ED7D31"/>
            </w:tcBorders>
            <w:shd w:val="clear" w:color="auto" w:fill="F7CAAC" w:themeFill="accent2" w:themeFillTint="66"/>
            <w:tcMar>
              <w:top w:w="9" w:type="dxa"/>
              <w:left w:w="9" w:type="dxa"/>
              <w:bottom w:w="0" w:type="dxa"/>
              <w:right w:w="9" w:type="dxa"/>
            </w:tcMar>
            <w:vAlign w:val="center"/>
            <w:hideMark/>
          </w:tcPr>
          <w:p w14:paraId="51DA978D" w14:textId="77777777" w:rsidR="00BE7DC6" w:rsidRPr="00D35FB6" w:rsidRDefault="00BE7DC6" w:rsidP="00D35FB6">
            <w:pPr>
              <w:spacing w:line="240" w:lineRule="auto"/>
              <w:ind w:left="57"/>
              <w:rPr>
                <w:rFonts w:asciiTheme="majorHAnsi" w:hAnsiTheme="majorHAnsi" w:cstheme="majorHAnsi"/>
                <w:bCs/>
                <w:sz w:val="18"/>
                <w:szCs w:val="18"/>
              </w:rPr>
            </w:pPr>
            <w:r w:rsidRPr="00D35FB6">
              <w:rPr>
                <w:rFonts w:asciiTheme="majorHAnsi" w:hAnsiTheme="majorHAnsi" w:cstheme="majorHAnsi"/>
                <w:bCs/>
                <w:sz w:val="18"/>
                <w:szCs w:val="18"/>
              </w:rPr>
              <w:t>Способ продажи</w:t>
            </w:r>
          </w:p>
        </w:tc>
        <w:tc>
          <w:tcPr>
            <w:tcW w:w="1360" w:type="dxa"/>
            <w:gridSpan w:val="2"/>
            <w:tcBorders>
              <w:top w:val="single" w:sz="8" w:space="0" w:color="ED7D31"/>
              <w:left w:val="single" w:sz="8" w:space="0" w:color="ED7D31"/>
              <w:bottom w:val="single" w:sz="8" w:space="0" w:color="ED7D31"/>
              <w:right w:val="single" w:sz="8" w:space="0" w:color="ED7D31"/>
            </w:tcBorders>
            <w:shd w:val="clear" w:color="auto" w:fill="F7CAAC" w:themeFill="accent2" w:themeFillTint="66"/>
            <w:tcMar>
              <w:top w:w="9" w:type="dxa"/>
              <w:left w:w="9" w:type="dxa"/>
              <w:bottom w:w="0" w:type="dxa"/>
              <w:right w:w="9" w:type="dxa"/>
            </w:tcMar>
            <w:vAlign w:val="center"/>
            <w:hideMark/>
          </w:tcPr>
          <w:p w14:paraId="49F4D251"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Продажи, тыс. шт.</w:t>
            </w:r>
          </w:p>
        </w:tc>
        <w:tc>
          <w:tcPr>
            <w:tcW w:w="1020" w:type="dxa"/>
            <w:tcBorders>
              <w:top w:val="single" w:sz="8" w:space="0" w:color="ED7D31"/>
              <w:left w:val="single" w:sz="8" w:space="0" w:color="ED7D31"/>
              <w:bottom w:val="single" w:sz="8" w:space="0" w:color="ED7D31"/>
              <w:right w:val="single" w:sz="8" w:space="0" w:color="ED7D31"/>
            </w:tcBorders>
            <w:shd w:val="clear" w:color="auto" w:fill="F7CAAC" w:themeFill="accent2" w:themeFillTint="66"/>
            <w:tcMar>
              <w:top w:w="9" w:type="dxa"/>
              <w:left w:w="9" w:type="dxa"/>
              <w:bottom w:w="0" w:type="dxa"/>
              <w:right w:w="9" w:type="dxa"/>
            </w:tcMar>
            <w:vAlign w:val="center"/>
            <w:hideMark/>
          </w:tcPr>
          <w:p w14:paraId="50353BF3"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Динамика,%</w:t>
            </w:r>
          </w:p>
        </w:tc>
        <w:tc>
          <w:tcPr>
            <w:tcW w:w="2040" w:type="dxa"/>
            <w:gridSpan w:val="2"/>
            <w:tcBorders>
              <w:top w:val="single" w:sz="8" w:space="0" w:color="ED7D31"/>
              <w:left w:val="single" w:sz="8" w:space="0" w:color="ED7D31"/>
              <w:bottom w:val="single" w:sz="8" w:space="0" w:color="ED7D31"/>
              <w:right w:val="single" w:sz="8" w:space="0" w:color="ED7D31"/>
            </w:tcBorders>
            <w:shd w:val="clear" w:color="auto" w:fill="F7CAAC" w:themeFill="accent2" w:themeFillTint="66"/>
            <w:tcMar>
              <w:top w:w="9" w:type="dxa"/>
              <w:left w:w="9" w:type="dxa"/>
              <w:bottom w:w="0" w:type="dxa"/>
              <w:right w:w="9" w:type="dxa"/>
            </w:tcMar>
            <w:vAlign w:val="center"/>
            <w:hideMark/>
          </w:tcPr>
          <w:p w14:paraId="2549C0E8"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Средневзвешенные цены, руб.</w:t>
            </w:r>
          </w:p>
        </w:tc>
        <w:tc>
          <w:tcPr>
            <w:tcW w:w="1020" w:type="dxa"/>
            <w:tcBorders>
              <w:top w:val="single" w:sz="8" w:space="0" w:color="ED7D31"/>
              <w:left w:val="single" w:sz="8" w:space="0" w:color="ED7D31"/>
              <w:bottom w:val="single" w:sz="8" w:space="0" w:color="ED7D31"/>
              <w:right w:val="single" w:sz="8" w:space="0" w:color="ED7D31"/>
            </w:tcBorders>
            <w:shd w:val="clear" w:color="auto" w:fill="F7CAAC" w:themeFill="accent2" w:themeFillTint="66"/>
            <w:tcMar>
              <w:top w:w="9" w:type="dxa"/>
              <w:left w:w="9" w:type="dxa"/>
              <w:bottom w:w="0" w:type="dxa"/>
              <w:right w:w="9" w:type="dxa"/>
            </w:tcMar>
            <w:vAlign w:val="center"/>
            <w:hideMark/>
          </w:tcPr>
          <w:p w14:paraId="197A3FC7"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Динамика,%</w:t>
            </w:r>
          </w:p>
        </w:tc>
        <w:tc>
          <w:tcPr>
            <w:tcW w:w="1360" w:type="dxa"/>
            <w:gridSpan w:val="2"/>
            <w:tcBorders>
              <w:top w:val="single" w:sz="8" w:space="0" w:color="ED7D31"/>
              <w:left w:val="single" w:sz="8" w:space="0" w:color="ED7D31"/>
              <w:bottom w:val="single" w:sz="8" w:space="0" w:color="ED7D31"/>
              <w:right w:val="single" w:sz="8" w:space="0" w:color="ED7D31"/>
            </w:tcBorders>
            <w:shd w:val="clear" w:color="auto" w:fill="F7CAAC" w:themeFill="accent2" w:themeFillTint="66"/>
            <w:tcMar>
              <w:top w:w="9" w:type="dxa"/>
              <w:left w:w="9" w:type="dxa"/>
              <w:bottom w:w="0" w:type="dxa"/>
              <w:right w:w="9" w:type="dxa"/>
            </w:tcMar>
            <w:vAlign w:val="center"/>
            <w:hideMark/>
          </w:tcPr>
          <w:p w14:paraId="01ED7151"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Финансовая емкость, млрд руб.</w:t>
            </w:r>
          </w:p>
        </w:tc>
        <w:tc>
          <w:tcPr>
            <w:tcW w:w="1020" w:type="dxa"/>
            <w:tcBorders>
              <w:top w:val="single" w:sz="8" w:space="0" w:color="ED7D31"/>
              <w:left w:val="single" w:sz="8" w:space="0" w:color="ED7D31"/>
              <w:bottom w:val="single" w:sz="8" w:space="0" w:color="ED7D31"/>
              <w:right w:val="single" w:sz="8" w:space="0" w:color="ED7D31"/>
            </w:tcBorders>
            <w:shd w:val="clear" w:color="auto" w:fill="F7CAAC" w:themeFill="accent2" w:themeFillTint="66"/>
            <w:tcMar>
              <w:top w:w="9" w:type="dxa"/>
              <w:left w:w="9" w:type="dxa"/>
              <w:bottom w:w="0" w:type="dxa"/>
              <w:right w:w="9" w:type="dxa"/>
            </w:tcMar>
            <w:vAlign w:val="center"/>
            <w:hideMark/>
          </w:tcPr>
          <w:p w14:paraId="0D20D080"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Динамика,%</w:t>
            </w:r>
          </w:p>
        </w:tc>
      </w:tr>
      <w:tr w:rsidR="00FF5A2D" w:rsidRPr="00D35FB6" w14:paraId="1C0E74AB" w14:textId="77777777" w:rsidTr="00355733">
        <w:trPr>
          <w:trHeight w:val="20"/>
        </w:trPr>
        <w:tc>
          <w:tcPr>
            <w:tcW w:w="1644" w:type="dxa"/>
            <w:vMerge/>
            <w:tcBorders>
              <w:top w:val="single" w:sz="8" w:space="0" w:color="ED7D31"/>
              <w:left w:val="single" w:sz="8" w:space="0" w:color="ED7D31"/>
              <w:bottom w:val="single" w:sz="8" w:space="0" w:color="ED7D31"/>
              <w:right w:val="single" w:sz="8" w:space="0" w:color="ED7D31"/>
            </w:tcBorders>
            <w:vAlign w:val="center"/>
            <w:hideMark/>
          </w:tcPr>
          <w:p w14:paraId="6804FD8E" w14:textId="77777777" w:rsidR="00BE7DC6" w:rsidRPr="00D35FB6" w:rsidRDefault="00BE7DC6" w:rsidP="00D35FB6">
            <w:pPr>
              <w:spacing w:line="240" w:lineRule="auto"/>
              <w:rPr>
                <w:rFonts w:asciiTheme="majorHAnsi" w:hAnsiTheme="majorHAnsi" w:cstheme="majorHAnsi"/>
                <w:bCs/>
                <w:sz w:val="18"/>
                <w:szCs w:val="18"/>
              </w:rPr>
            </w:pPr>
          </w:p>
        </w:tc>
        <w:tc>
          <w:tcPr>
            <w:tcW w:w="680" w:type="dxa"/>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22801EE2"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2025 (01-05)</w:t>
            </w:r>
          </w:p>
        </w:tc>
        <w:tc>
          <w:tcPr>
            <w:tcW w:w="680" w:type="dxa"/>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282D85F7"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2026 (01-05)</w:t>
            </w:r>
          </w:p>
        </w:tc>
        <w:tc>
          <w:tcPr>
            <w:tcW w:w="1020" w:type="dxa"/>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7579219B"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2026/2025</w:t>
            </w:r>
          </w:p>
        </w:tc>
        <w:tc>
          <w:tcPr>
            <w:tcW w:w="1020" w:type="dxa"/>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430B1F16"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 xml:space="preserve">2025 </w:t>
            </w:r>
            <w:r w:rsidRPr="00D35FB6">
              <w:rPr>
                <w:rFonts w:asciiTheme="majorHAnsi" w:hAnsiTheme="majorHAnsi" w:cstheme="majorHAnsi"/>
                <w:bCs/>
                <w:sz w:val="18"/>
                <w:szCs w:val="18"/>
              </w:rPr>
              <w:br/>
              <w:t>(01-05)</w:t>
            </w:r>
          </w:p>
        </w:tc>
        <w:tc>
          <w:tcPr>
            <w:tcW w:w="1020" w:type="dxa"/>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1CB45880"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 xml:space="preserve">2026 </w:t>
            </w:r>
            <w:r w:rsidRPr="00D35FB6">
              <w:rPr>
                <w:rFonts w:asciiTheme="majorHAnsi" w:hAnsiTheme="majorHAnsi" w:cstheme="majorHAnsi"/>
                <w:bCs/>
                <w:sz w:val="18"/>
                <w:szCs w:val="18"/>
              </w:rPr>
              <w:br/>
              <w:t>(01-05)</w:t>
            </w:r>
          </w:p>
        </w:tc>
        <w:tc>
          <w:tcPr>
            <w:tcW w:w="1020" w:type="dxa"/>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4DB3E13E"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2026/2025</w:t>
            </w:r>
          </w:p>
        </w:tc>
        <w:tc>
          <w:tcPr>
            <w:tcW w:w="680" w:type="dxa"/>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08D4F0F4"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2025 (01-05)</w:t>
            </w:r>
          </w:p>
        </w:tc>
        <w:tc>
          <w:tcPr>
            <w:tcW w:w="680" w:type="dxa"/>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6C2C638E"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2026 (01-05)</w:t>
            </w:r>
          </w:p>
        </w:tc>
        <w:tc>
          <w:tcPr>
            <w:tcW w:w="1020" w:type="dxa"/>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7DF43126"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2026/2025</w:t>
            </w:r>
          </w:p>
        </w:tc>
      </w:tr>
      <w:tr w:rsidR="00BE7DC6" w:rsidRPr="00D35FB6" w14:paraId="258D4EAE" w14:textId="77777777" w:rsidTr="00355733">
        <w:trPr>
          <w:trHeight w:val="20"/>
        </w:trPr>
        <w:tc>
          <w:tcPr>
            <w:tcW w:w="1644" w:type="dxa"/>
            <w:tcBorders>
              <w:top w:val="single" w:sz="8" w:space="0" w:color="ED7D31"/>
              <w:left w:val="single" w:sz="8" w:space="0" w:color="ED7D31"/>
              <w:bottom w:val="single" w:sz="8" w:space="0" w:color="ED7D31"/>
              <w:right w:val="single" w:sz="8" w:space="0" w:color="ED7D31"/>
            </w:tcBorders>
            <w:shd w:val="clear" w:color="auto" w:fill="auto"/>
            <w:tcMar>
              <w:top w:w="9" w:type="dxa"/>
              <w:left w:w="84" w:type="dxa"/>
              <w:bottom w:w="0" w:type="dxa"/>
              <w:right w:w="9" w:type="dxa"/>
            </w:tcMar>
            <w:vAlign w:val="center"/>
            <w:hideMark/>
          </w:tcPr>
          <w:p w14:paraId="719E9351" w14:textId="77777777" w:rsidR="00BE7DC6" w:rsidRPr="00D35FB6" w:rsidRDefault="00BE7DC6" w:rsidP="00D35FB6">
            <w:pPr>
              <w:spacing w:line="240" w:lineRule="auto"/>
              <w:rPr>
                <w:rFonts w:asciiTheme="majorHAnsi" w:hAnsiTheme="majorHAnsi" w:cstheme="majorHAnsi"/>
                <w:bCs/>
                <w:sz w:val="18"/>
                <w:szCs w:val="18"/>
              </w:rPr>
            </w:pPr>
            <w:r w:rsidRPr="00D35FB6">
              <w:rPr>
                <w:rFonts w:asciiTheme="majorHAnsi" w:hAnsiTheme="majorHAnsi" w:cstheme="majorHAnsi"/>
                <w:bCs/>
                <w:sz w:val="18"/>
                <w:szCs w:val="18"/>
              </w:rPr>
              <w:t>Продажи в лизинг</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6B868A67"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10,3</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2378748D"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9,6</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5F1C04AF"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-6,5%</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50ECA802"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10 529 049</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21F626ED"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10 154 345</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7B400F89"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-3,6%</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63A0F8DF"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108,1</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317877D3"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97,5</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7599BA4F"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-9,8%</w:t>
            </w:r>
          </w:p>
        </w:tc>
      </w:tr>
      <w:tr w:rsidR="00BE7DC6" w:rsidRPr="00D35FB6" w14:paraId="400A5DB3" w14:textId="77777777" w:rsidTr="00355733">
        <w:trPr>
          <w:trHeight w:val="20"/>
        </w:trPr>
        <w:tc>
          <w:tcPr>
            <w:tcW w:w="1644" w:type="dxa"/>
            <w:tcBorders>
              <w:top w:val="single" w:sz="8" w:space="0" w:color="ED7D31"/>
              <w:left w:val="single" w:sz="8" w:space="0" w:color="ED7D31"/>
              <w:bottom w:val="single" w:sz="8" w:space="0" w:color="ED7D31"/>
              <w:right w:val="single" w:sz="8" w:space="0" w:color="ED7D31"/>
            </w:tcBorders>
            <w:shd w:val="clear" w:color="auto" w:fill="auto"/>
            <w:tcMar>
              <w:top w:w="9" w:type="dxa"/>
              <w:left w:w="84" w:type="dxa"/>
              <w:bottom w:w="0" w:type="dxa"/>
              <w:right w:w="9" w:type="dxa"/>
            </w:tcMar>
            <w:vAlign w:val="center"/>
            <w:hideMark/>
          </w:tcPr>
          <w:p w14:paraId="391024EE" w14:textId="77777777" w:rsidR="00BE7DC6" w:rsidRPr="00D35FB6" w:rsidRDefault="00BE7DC6" w:rsidP="00D35FB6">
            <w:pPr>
              <w:spacing w:line="240" w:lineRule="auto"/>
              <w:rPr>
                <w:rFonts w:asciiTheme="majorHAnsi" w:hAnsiTheme="majorHAnsi" w:cstheme="majorHAnsi"/>
                <w:bCs/>
                <w:sz w:val="18"/>
                <w:szCs w:val="18"/>
              </w:rPr>
            </w:pPr>
            <w:r w:rsidRPr="00D35FB6">
              <w:rPr>
                <w:rFonts w:asciiTheme="majorHAnsi" w:hAnsiTheme="majorHAnsi" w:cstheme="majorHAnsi"/>
                <w:bCs/>
                <w:sz w:val="18"/>
                <w:szCs w:val="18"/>
              </w:rPr>
              <w:t>Продажи иными способами (кредит, собственные средства и др.)</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3B658F62"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14,5</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423A8309"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10,5</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59C1C157"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-27,7%</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792314F9"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10 545 042</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51E883A6"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9 960 925</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600F666C"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-5,5%</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49D92562"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152,8</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2A7C0CE0"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104,4</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7406B2E8"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-31,7%</w:t>
            </w:r>
          </w:p>
        </w:tc>
      </w:tr>
      <w:tr w:rsidR="00BE7DC6" w:rsidRPr="00D35FB6" w14:paraId="483AB41E" w14:textId="77777777" w:rsidTr="00355733">
        <w:trPr>
          <w:trHeight w:val="20"/>
        </w:trPr>
        <w:tc>
          <w:tcPr>
            <w:tcW w:w="1644" w:type="dxa"/>
            <w:tcBorders>
              <w:top w:val="single" w:sz="8" w:space="0" w:color="ED7D31"/>
              <w:left w:val="single" w:sz="8" w:space="0" w:color="ED7D31"/>
              <w:bottom w:val="single" w:sz="8" w:space="0" w:color="ED7D31"/>
              <w:right w:val="single" w:sz="8" w:space="0" w:color="ED7D31"/>
            </w:tcBorders>
            <w:shd w:val="clear" w:color="auto" w:fill="auto"/>
            <w:tcMar>
              <w:top w:w="9" w:type="dxa"/>
              <w:left w:w="84" w:type="dxa"/>
              <w:bottom w:w="0" w:type="dxa"/>
              <w:right w:w="9" w:type="dxa"/>
            </w:tcMar>
            <w:vAlign w:val="center"/>
            <w:hideMark/>
          </w:tcPr>
          <w:p w14:paraId="68B979C3" w14:textId="77777777" w:rsidR="00BE7DC6" w:rsidRPr="00D35FB6" w:rsidRDefault="00BE7DC6" w:rsidP="00D35FB6">
            <w:pPr>
              <w:spacing w:line="240" w:lineRule="auto"/>
              <w:rPr>
                <w:rFonts w:asciiTheme="majorHAnsi" w:hAnsiTheme="majorHAnsi" w:cstheme="majorHAnsi"/>
                <w:bCs/>
                <w:sz w:val="18"/>
                <w:szCs w:val="18"/>
              </w:rPr>
            </w:pPr>
            <w:r w:rsidRPr="00D35FB6">
              <w:rPr>
                <w:rFonts w:asciiTheme="majorHAnsi" w:hAnsiTheme="majorHAnsi" w:cstheme="majorHAnsi"/>
                <w:bCs/>
                <w:sz w:val="18"/>
                <w:szCs w:val="18"/>
              </w:rPr>
              <w:t>Всего</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2E811099"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24,8</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2866807F"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20,1</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7F5C437A"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-18,9%</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11959A22"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10 538 410</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3346B2BD"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10 053 389</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3A43D2D4"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-4,6%</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56FBE482"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260,9</w:t>
            </w:r>
          </w:p>
        </w:tc>
        <w:tc>
          <w:tcPr>
            <w:tcW w:w="680" w:type="dxa"/>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187A32BC"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202,0</w:t>
            </w:r>
          </w:p>
        </w:tc>
        <w:tc>
          <w:tcPr>
            <w:tcW w:w="1020" w:type="dxa"/>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22F9122B" w14:textId="77777777" w:rsidR="00BE7DC6" w:rsidRPr="00D35FB6" w:rsidRDefault="00BE7DC6" w:rsidP="00D35FB6">
            <w:pPr>
              <w:spacing w:line="240" w:lineRule="auto"/>
              <w:jc w:val="center"/>
              <w:rPr>
                <w:rFonts w:asciiTheme="majorHAnsi" w:hAnsiTheme="majorHAnsi" w:cstheme="majorHAnsi"/>
                <w:bCs/>
                <w:sz w:val="18"/>
                <w:szCs w:val="18"/>
              </w:rPr>
            </w:pPr>
            <w:r w:rsidRPr="00D35FB6">
              <w:rPr>
                <w:rFonts w:asciiTheme="majorHAnsi" w:hAnsiTheme="majorHAnsi" w:cstheme="majorHAnsi"/>
                <w:bCs/>
                <w:sz w:val="18"/>
                <w:szCs w:val="18"/>
              </w:rPr>
              <w:t>-22,6%</w:t>
            </w:r>
          </w:p>
        </w:tc>
      </w:tr>
    </w:tbl>
    <w:p w14:paraId="4757D104" w14:textId="03406691" w:rsidR="00A87FD8" w:rsidRPr="00D35FB6" w:rsidRDefault="00E14E6E" w:rsidP="00D35FB6">
      <w:pPr>
        <w:spacing w:line="240" w:lineRule="auto"/>
        <w:jc w:val="right"/>
        <w:rPr>
          <w:rFonts w:asciiTheme="majorHAnsi" w:hAnsiTheme="majorHAnsi" w:cstheme="majorHAnsi"/>
          <w:i/>
          <w:sz w:val="20"/>
          <w:szCs w:val="24"/>
        </w:rPr>
      </w:pPr>
      <w:r w:rsidRPr="00D35FB6">
        <w:rPr>
          <w:rFonts w:asciiTheme="majorHAnsi" w:hAnsiTheme="majorHAnsi" w:cstheme="majorHAnsi"/>
          <w:i/>
          <w:sz w:val="20"/>
          <w:szCs w:val="24"/>
        </w:rPr>
        <w:t>Источник: НАПИ / Национальное Агентство Промышленной Информации</w:t>
      </w:r>
    </w:p>
    <w:p w14:paraId="79CD91B4" w14:textId="55EB84F0" w:rsidR="00343D87" w:rsidRPr="00D35FB6" w:rsidRDefault="00BE7B38" w:rsidP="00D35FB6">
      <w:pPr>
        <w:spacing w:line="240" w:lineRule="auto"/>
        <w:jc w:val="both"/>
        <w:rPr>
          <w:rFonts w:asciiTheme="majorHAnsi" w:hAnsiTheme="majorHAnsi" w:cstheme="majorHAnsi"/>
          <w:b/>
          <w:sz w:val="24"/>
          <w:szCs w:val="24"/>
        </w:rPr>
      </w:pPr>
      <w:r w:rsidRPr="00D35FB6">
        <w:rPr>
          <w:rFonts w:asciiTheme="majorHAnsi" w:hAnsiTheme="majorHAnsi" w:cstheme="majorHAnsi"/>
          <w:b/>
          <w:sz w:val="24"/>
          <w:szCs w:val="24"/>
        </w:rPr>
        <w:t xml:space="preserve">– </w:t>
      </w:r>
      <w:r w:rsidR="0045598A" w:rsidRPr="00D35FB6">
        <w:rPr>
          <w:rFonts w:asciiTheme="majorHAnsi" w:hAnsiTheme="majorHAnsi" w:cstheme="majorHAnsi"/>
          <w:b/>
          <w:sz w:val="24"/>
          <w:szCs w:val="24"/>
        </w:rPr>
        <w:t xml:space="preserve">Как вы оцениваете </w:t>
      </w:r>
      <w:r w:rsidR="00522627" w:rsidRPr="00D35FB6">
        <w:rPr>
          <w:rFonts w:asciiTheme="majorHAnsi" w:hAnsiTheme="majorHAnsi" w:cstheme="majorHAnsi"/>
          <w:b/>
          <w:sz w:val="24"/>
          <w:szCs w:val="24"/>
        </w:rPr>
        <w:t>рын</w:t>
      </w:r>
      <w:r w:rsidR="00267A1C" w:rsidRPr="00D35FB6">
        <w:rPr>
          <w:rFonts w:asciiTheme="majorHAnsi" w:hAnsiTheme="majorHAnsi" w:cstheme="majorHAnsi"/>
          <w:b/>
          <w:sz w:val="24"/>
          <w:szCs w:val="24"/>
        </w:rPr>
        <w:t>ок</w:t>
      </w:r>
      <w:r w:rsidR="00522627" w:rsidRPr="00D35FB6">
        <w:rPr>
          <w:rFonts w:asciiTheme="majorHAnsi" w:hAnsiTheme="majorHAnsi" w:cstheme="majorHAnsi"/>
          <w:b/>
          <w:sz w:val="24"/>
          <w:szCs w:val="24"/>
        </w:rPr>
        <w:t xml:space="preserve"> лизинга грузовых</w:t>
      </w:r>
      <w:r w:rsidR="00267A1C" w:rsidRPr="00D35FB6">
        <w:rPr>
          <w:rFonts w:asciiTheme="majorHAnsi" w:hAnsiTheme="majorHAnsi" w:cstheme="majorHAnsi"/>
          <w:b/>
          <w:sz w:val="24"/>
          <w:szCs w:val="24"/>
        </w:rPr>
        <w:t xml:space="preserve"> автомобилей</w:t>
      </w:r>
      <w:r w:rsidR="00522627" w:rsidRPr="00D35FB6">
        <w:rPr>
          <w:rFonts w:asciiTheme="majorHAnsi" w:hAnsiTheme="majorHAnsi" w:cstheme="majorHAnsi"/>
          <w:b/>
          <w:sz w:val="24"/>
          <w:szCs w:val="24"/>
        </w:rPr>
        <w:t>?</w:t>
      </w:r>
      <w:r w:rsidRPr="00D35FB6">
        <w:rPr>
          <w:rFonts w:asciiTheme="majorHAnsi" w:hAnsiTheme="majorHAnsi" w:cstheme="majorHAnsi"/>
          <w:b/>
          <w:sz w:val="24"/>
          <w:szCs w:val="24"/>
        </w:rPr>
        <w:t xml:space="preserve"> </w:t>
      </w:r>
      <w:r w:rsidR="00414A56" w:rsidRPr="00D35FB6">
        <w:rPr>
          <w:rFonts w:asciiTheme="majorHAnsi" w:hAnsiTheme="majorHAnsi" w:cstheme="majorHAnsi"/>
          <w:b/>
          <w:sz w:val="24"/>
          <w:szCs w:val="24"/>
        </w:rPr>
        <w:t>Какие выводы сделали лизинговые компании по результатам р</w:t>
      </w:r>
      <w:r w:rsidRPr="00D35FB6">
        <w:rPr>
          <w:rFonts w:asciiTheme="majorHAnsi" w:hAnsiTheme="majorHAnsi" w:cstheme="majorHAnsi"/>
          <w:b/>
          <w:sz w:val="24"/>
          <w:szCs w:val="24"/>
        </w:rPr>
        <w:t>азвития рынка в 2022–2026 годах?</w:t>
      </w:r>
      <w:r w:rsidR="00C30DDD" w:rsidRPr="00D35FB6">
        <w:rPr>
          <w:rFonts w:asciiTheme="majorHAnsi" w:hAnsiTheme="majorHAnsi" w:cstheme="majorHAnsi"/>
          <w:b/>
          <w:sz w:val="24"/>
          <w:szCs w:val="24"/>
        </w:rPr>
        <w:t xml:space="preserve"> </w:t>
      </w:r>
    </w:p>
    <w:p w14:paraId="7DC6684D" w14:textId="38828E4E" w:rsidR="00B30B78" w:rsidRPr="00D35FB6" w:rsidRDefault="00BE7B38" w:rsidP="00D35FB6">
      <w:pPr>
        <w:spacing w:line="240" w:lineRule="auto"/>
        <w:jc w:val="both"/>
        <w:rPr>
          <w:rFonts w:asciiTheme="majorHAnsi" w:hAnsiTheme="majorHAnsi" w:cstheme="majorHAnsi"/>
          <w:sz w:val="24"/>
          <w:szCs w:val="24"/>
        </w:rPr>
      </w:pPr>
      <w:r w:rsidRPr="00D35FB6">
        <w:rPr>
          <w:rFonts w:asciiTheme="majorHAnsi" w:hAnsiTheme="majorHAnsi" w:cstheme="majorHAnsi"/>
          <w:sz w:val="24"/>
          <w:szCs w:val="24"/>
        </w:rPr>
        <w:t xml:space="preserve">– </w:t>
      </w:r>
      <w:r w:rsidR="00343D87" w:rsidRPr="00D35FB6">
        <w:rPr>
          <w:rFonts w:asciiTheme="majorHAnsi" w:hAnsiTheme="majorHAnsi" w:cstheme="majorHAnsi"/>
          <w:sz w:val="24"/>
          <w:szCs w:val="24"/>
        </w:rPr>
        <w:t xml:space="preserve">Рынок лизинга грузовых автомобилей в России испытал </w:t>
      </w:r>
      <w:r w:rsidR="000A4732" w:rsidRPr="00D35FB6">
        <w:rPr>
          <w:rFonts w:asciiTheme="majorHAnsi" w:hAnsiTheme="majorHAnsi" w:cstheme="majorHAnsi"/>
          <w:sz w:val="24"/>
          <w:szCs w:val="24"/>
        </w:rPr>
        <w:t xml:space="preserve">активную </w:t>
      </w:r>
      <w:r w:rsidR="00343D87" w:rsidRPr="00D35FB6">
        <w:rPr>
          <w:rFonts w:asciiTheme="majorHAnsi" w:hAnsiTheme="majorHAnsi" w:cstheme="majorHAnsi"/>
          <w:sz w:val="24"/>
          <w:szCs w:val="24"/>
        </w:rPr>
        <w:t>стадию роста в 2022–202</w:t>
      </w:r>
      <w:r w:rsidR="003B7A27" w:rsidRPr="00D35FB6">
        <w:rPr>
          <w:rFonts w:asciiTheme="majorHAnsi" w:hAnsiTheme="majorHAnsi" w:cstheme="majorHAnsi"/>
          <w:sz w:val="24"/>
          <w:szCs w:val="24"/>
        </w:rPr>
        <w:t>5</w:t>
      </w:r>
      <w:r w:rsidR="00343D87" w:rsidRPr="00D35FB6">
        <w:rPr>
          <w:rFonts w:asciiTheme="majorHAnsi" w:hAnsiTheme="majorHAnsi" w:cstheme="majorHAnsi"/>
          <w:sz w:val="24"/>
          <w:szCs w:val="24"/>
        </w:rPr>
        <w:t xml:space="preserve"> годах.</w:t>
      </w:r>
      <w:r w:rsidR="003B7A27" w:rsidRPr="00D35FB6">
        <w:rPr>
          <w:rFonts w:asciiTheme="majorHAnsi" w:hAnsiTheme="majorHAnsi" w:cstheme="majorHAnsi"/>
          <w:sz w:val="24"/>
          <w:szCs w:val="24"/>
        </w:rPr>
        <w:t xml:space="preserve"> В 2026 </w:t>
      </w:r>
      <w:r w:rsidR="001633A5" w:rsidRPr="00D35FB6">
        <w:rPr>
          <w:rFonts w:asciiTheme="majorHAnsi" w:hAnsiTheme="majorHAnsi" w:cstheme="majorHAnsi"/>
          <w:sz w:val="24"/>
          <w:szCs w:val="24"/>
        </w:rPr>
        <w:t xml:space="preserve">году </w:t>
      </w:r>
      <w:r w:rsidR="003B7A27" w:rsidRPr="00D35FB6">
        <w:rPr>
          <w:rFonts w:asciiTheme="majorHAnsi" w:hAnsiTheme="majorHAnsi" w:cstheme="majorHAnsi"/>
          <w:sz w:val="24"/>
          <w:szCs w:val="24"/>
        </w:rPr>
        <w:t>мы наблюдаем стагнацию</w:t>
      </w:r>
      <w:r w:rsidR="001633A5" w:rsidRPr="00D35FB6">
        <w:rPr>
          <w:rFonts w:asciiTheme="majorHAnsi" w:hAnsiTheme="majorHAnsi" w:cstheme="majorHAnsi"/>
          <w:sz w:val="24"/>
          <w:szCs w:val="24"/>
        </w:rPr>
        <w:t xml:space="preserve">. </w:t>
      </w:r>
      <w:r w:rsidR="00343D87" w:rsidRPr="00D35FB6">
        <w:rPr>
          <w:rFonts w:asciiTheme="majorHAnsi" w:hAnsiTheme="majorHAnsi" w:cstheme="majorHAnsi"/>
          <w:sz w:val="24"/>
          <w:szCs w:val="24"/>
        </w:rPr>
        <w:t>Это обусловлено рядом факторов: в начале периода —</w:t>
      </w:r>
      <w:r w:rsidR="00B30B78" w:rsidRPr="00D35FB6">
        <w:rPr>
          <w:rFonts w:asciiTheme="majorHAnsi" w:hAnsiTheme="majorHAnsi" w:cstheme="majorHAnsi"/>
          <w:sz w:val="24"/>
          <w:szCs w:val="24"/>
        </w:rPr>
        <w:t xml:space="preserve"> </w:t>
      </w:r>
      <w:r w:rsidR="000A4732" w:rsidRPr="00D35FB6">
        <w:rPr>
          <w:rFonts w:asciiTheme="majorHAnsi" w:hAnsiTheme="majorHAnsi" w:cstheme="majorHAnsi"/>
          <w:sz w:val="24"/>
          <w:szCs w:val="24"/>
        </w:rPr>
        <w:t xml:space="preserve">объемным </w:t>
      </w:r>
      <w:r w:rsidR="00343D87" w:rsidRPr="00D35FB6">
        <w:rPr>
          <w:rFonts w:asciiTheme="majorHAnsi" w:hAnsiTheme="majorHAnsi" w:cstheme="majorHAnsi"/>
          <w:sz w:val="24"/>
          <w:szCs w:val="24"/>
        </w:rPr>
        <w:t>ростом перевозок, впоследствии — их сворачиванием</w:t>
      </w:r>
      <w:r w:rsidR="00E07A4F" w:rsidRPr="00D35FB6">
        <w:rPr>
          <w:rFonts w:asciiTheme="majorHAnsi" w:hAnsiTheme="majorHAnsi" w:cstheme="majorHAnsi"/>
          <w:sz w:val="24"/>
          <w:szCs w:val="24"/>
        </w:rPr>
        <w:t>. На</w:t>
      </w:r>
      <w:r w:rsidR="00343D87" w:rsidRPr="00D35FB6">
        <w:rPr>
          <w:rFonts w:asciiTheme="majorHAnsi" w:hAnsiTheme="majorHAnsi" w:cstheme="majorHAnsi"/>
          <w:sz w:val="24"/>
          <w:szCs w:val="24"/>
        </w:rPr>
        <w:t xml:space="preserve"> помощь пришли стареющи</w:t>
      </w:r>
      <w:r w:rsidR="00E07A4F" w:rsidRPr="00D35FB6">
        <w:rPr>
          <w:rFonts w:asciiTheme="majorHAnsi" w:hAnsiTheme="majorHAnsi" w:cstheme="majorHAnsi"/>
          <w:sz w:val="24"/>
          <w:szCs w:val="24"/>
        </w:rPr>
        <w:t>е</w:t>
      </w:r>
      <w:r w:rsidR="00343D87" w:rsidRPr="00D35FB6">
        <w:rPr>
          <w:rFonts w:asciiTheme="majorHAnsi" w:hAnsiTheme="majorHAnsi" w:cstheme="majorHAnsi"/>
          <w:sz w:val="24"/>
          <w:szCs w:val="24"/>
        </w:rPr>
        <w:t xml:space="preserve"> автопарк</w:t>
      </w:r>
      <w:r w:rsidR="00E07A4F" w:rsidRPr="00D35FB6">
        <w:rPr>
          <w:rFonts w:asciiTheme="majorHAnsi" w:hAnsiTheme="majorHAnsi" w:cstheme="majorHAnsi"/>
          <w:sz w:val="24"/>
          <w:szCs w:val="24"/>
        </w:rPr>
        <w:t>и</w:t>
      </w:r>
      <w:r w:rsidR="00343D87" w:rsidRPr="00D35FB6">
        <w:rPr>
          <w:rFonts w:asciiTheme="majorHAnsi" w:hAnsiTheme="majorHAnsi" w:cstheme="majorHAnsi"/>
          <w:sz w:val="24"/>
          <w:szCs w:val="24"/>
        </w:rPr>
        <w:t xml:space="preserve"> и необходимость </w:t>
      </w:r>
      <w:r w:rsidR="00E07A4F" w:rsidRPr="00D35FB6">
        <w:rPr>
          <w:rFonts w:asciiTheme="majorHAnsi" w:hAnsiTheme="majorHAnsi" w:cstheme="majorHAnsi"/>
          <w:sz w:val="24"/>
          <w:szCs w:val="24"/>
        </w:rPr>
        <w:t>их</w:t>
      </w:r>
      <w:r w:rsidR="00343D87" w:rsidRPr="00D35FB6">
        <w:rPr>
          <w:rFonts w:asciiTheme="majorHAnsi" w:hAnsiTheme="majorHAnsi" w:cstheme="majorHAnsi"/>
          <w:sz w:val="24"/>
          <w:szCs w:val="24"/>
        </w:rPr>
        <w:t xml:space="preserve"> замены.</w:t>
      </w:r>
    </w:p>
    <w:p w14:paraId="448F6BD9" w14:textId="47819867" w:rsidR="00343D87" w:rsidRPr="00D35FB6" w:rsidRDefault="00343D87" w:rsidP="00D35FB6">
      <w:pPr>
        <w:spacing w:line="240" w:lineRule="auto"/>
        <w:jc w:val="both"/>
        <w:rPr>
          <w:rFonts w:asciiTheme="majorHAnsi" w:hAnsiTheme="majorHAnsi" w:cstheme="majorHAnsi"/>
          <w:sz w:val="24"/>
          <w:szCs w:val="24"/>
        </w:rPr>
      </w:pPr>
      <w:r w:rsidRPr="00D35FB6">
        <w:rPr>
          <w:rFonts w:asciiTheme="majorHAnsi" w:hAnsiTheme="majorHAnsi" w:cstheme="majorHAnsi"/>
          <w:sz w:val="24"/>
          <w:szCs w:val="24"/>
        </w:rPr>
        <w:t xml:space="preserve">На текущий момент сегмент </w:t>
      </w:r>
      <w:r w:rsidR="0081013F" w:rsidRPr="00D35FB6">
        <w:rPr>
          <w:rFonts w:asciiTheme="majorHAnsi" w:hAnsiTheme="majorHAnsi" w:cstheme="majorHAnsi"/>
          <w:sz w:val="24"/>
          <w:szCs w:val="24"/>
        </w:rPr>
        <w:t>грузовых автомобилей</w:t>
      </w:r>
      <w:r w:rsidRPr="00D35FB6">
        <w:rPr>
          <w:rFonts w:asciiTheme="majorHAnsi" w:hAnsiTheme="majorHAnsi" w:cstheme="majorHAnsi"/>
          <w:sz w:val="24"/>
          <w:szCs w:val="24"/>
        </w:rPr>
        <w:t xml:space="preserve"> </w:t>
      </w:r>
      <w:r w:rsidR="00592771" w:rsidRPr="00D35FB6">
        <w:rPr>
          <w:rFonts w:asciiTheme="majorHAnsi" w:hAnsiTheme="majorHAnsi" w:cstheme="majorHAnsi"/>
          <w:sz w:val="24"/>
          <w:szCs w:val="24"/>
        </w:rPr>
        <w:t xml:space="preserve">остается одной из наиболее неопределенных зон рынка лизинга. </w:t>
      </w:r>
      <w:r w:rsidRPr="00D35FB6">
        <w:rPr>
          <w:rFonts w:asciiTheme="majorHAnsi" w:hAnsiTheme="majorHAnsi" w:cstheme="majorHAnsi"/>
          <w:sz w:val="24"/>
          <w:szCs w:val="24"/>
        </w:rPr>
        <w:t xml:space="preserve">С одной стороны, мы </w:t>
      </w:r>
      <w:r w:rsidR="00592771" w:rsidRPr="00D35FB6">
        <w:rPr>
          <w:rFonts w:asciiTheme="majorHAnsi" w:hAnsiTheme="majorHAnsi" w:cstheme="majorHAnsi"/>
          <w:sz w:val="24"/>
          <w:szCs w:val="24"/>
        </w:rPr>
        <w:t>наблюдаем</w:t>
      </w:r>
      <w:r w:rsidRPr="00D35FB6">
        <w:rPr>
          <w:rFonts w:asciiTheme="majorHAnsi" w:hAnsiTheme="majorHAnsi" w:cstheme="majorHAnsi"/>
          <w:sz w:val="24"/>
          <w:szCs w:val="24"/>
        </w:rPr>
        <w:t xml:space="preserve"> смену устоявшихся лидеров рынка в лице европейских автогигантов на ранее малоизвестных, а иногда и вовсе неизвестных азиатских производителей. </w:t>
      </w:r>
      <w:r w:rsidR="000A4732" w:rsidRPr="00D35FB6">
        <w:rPr>
          <w:rFonts w:asciiTheme="majorHAnsi" w:hAnsiTheme="majorHAnsi" w:cstheme="majorHAnsi"/>
          <w:sz w:val="24"/>
          <w:szCs w:val="24"/>
        </w:rPr>
        <w:t>Данной сменой в том числе</w:t>
      </w:r>
      <w:r w:rsidR="00592771" w:rsidRPr="00D35FB6">
        <w:rPr>
          <w:rFonts w:asciiTheme="majorHAnsi" w:hAnsiTheme="majorHAnsi" w:cstheme="majorHAnsi"/>
          <w:sz w:val="24"/>
          <w:szCs w:val="24"/>
        </w:rPr>
        <w:t xml:space="preserve"> </w:t>
      </w:r>
      <w:r w:rsidRPr="00D35FB6">
        <w:rPr>
          <w:rFonts w:asciiTheme="majorHAnsi" w:hAnsiTheme="majorHAnsi" w:cstheme="majorHAnsi"/>
          <w:sz w:val="24"/>
          <w:szCs w:val="24"/>
        </w:rPr>
        <w:t>обусловлена</w:t>
      </w:r>
      <w:r w:rsidR="00592771" w:rsidRPr="00D35FB6">
        <w:rPr>
          <w:rFonts w:asciiTheme="majorHAnsi" w:hAnsiTheme="majorHAnsi" w:cstheme="majorHAnsi"/>
          <w:sz w:val="24"/>
          <w:szCs w:val="24"/>
        </w:rPr>
        <w:t xml:space="preserve"> осторожность лизинговых компаний </w:t>
      </w:r>
      <w:r w:rsidRPr="00D35FB6">
        <w:rPr>
          <w:rFonts w:asciiTheme="majorHAnsi" w:hAnsiTheme="majorHAnsi" w:cstheme="majorHAnsi"/>
          <w:sz w:val="24"/>
          <w:szCs w:val="24"/>
        </w:rPr>
        <w:t>в сегменте.</w:t>
      </w:r>
      <w:r w:rsidR="003B7A27" w:rsidRPr="00D35FB6">
        <w:rPr>
          <w:rFonts w:asciiTheme="majorHAnsi" w:hAnsiTheme="majorHAnsi" w:cstheme="majorHAnsi"/>
          <w:sz w:val="24"/>
          <w:szCs w:val="24"/>
        </w:rPr>
        <w:t xml:space="preserve"> </w:t>
      </w:r>
      <w:r w:rsidRPr="00D35FB6">
        <w:rPr>
          <w:rFonts w:asciiTheme="majorHAnsi" w:hAnsiTheme="majorHAnsi" w:cstheme="majorHAnsi"/>
          <w:sz w:val="24"/>
          <w:szCs w:val="24"/>
        </w:rPr>
        <w:t xml:space="preserve">Так как на рынок вошли </w:t>
      </w:r>
      <w:r w:rsidR="000A4732" w:rsidRPr="00D35FB6">
        <w:rPr>
          <w:rFonts w:asciiTheme="majorHAnsi" w:hAnsiTheme="majorHAnsi" w:cstheme="majorHAnsi"/>
          <w:sz w:val="24"/>
          <w:szCs w:val="24"/>
        </w:rPr>
        <w:t>бренды</w:t>
      </w:r>
      <w:r w:rsidRPr="00D35FB6">
        <w:rPr>
          <w:rFonts w:asciiTheme="majorHAnsi" w:hAnsiTheme="majorHAnsi" w:cstheme="majorHAnsi"/>
          <w:sz w:val="24"/>
          <w:szCs w:val="24"/>
        </w:rPr>
        <w:t xml:space="preserve">, которые ранее на нем не были представлены и были малоизвестны как лизинговым компаниям, так и </w:t>
      </w:r>
      <w:r w:rsidR="000304F9" w:rsidRPr="00D35FB6">
        <w:rPr>
          <w:rFonts w:asciiTheme="majorHAnsi" w:hAnsiTheme="majorHAnsi" w:cstheme="majorHAnsi"/>
          <w:sz w:val="24"/>
          <w:szCs w:val="24"/>
        </w:rPr>
        <w:t xml:space="preserve">активно покупавшим их потребителям, </w:t>
      </w:r>
      <w:r w:rsidRPr="00D35FB6">
        <w:rPr>
          <w:rFonts w:asciiTheme="majorHAnsi" w:hAnsiTheme="majorHAnsi" w:cstheme="majorHAnsi"/>
          <w:sz w:val="24"/>
          <w:szCs w:val="24"/>
        </w:rPr>
        <w:t>лизинговая отрасль испытала</w:t>
      </w:r>
      <w:r w:rsidR="00351CAF" w:rsidRPr="00D35FB6">
        <w:rPr>
          <w:rFonts w:asciiTheme="majorHAnsi" w:hAnsiTheme="majorHAnsi" w:cstheme="majorHAnsi"/>
          <w:sz w:val="24"/>
          <w:szCs w:val="24"/>
        </w:rPr>
        <w:t xml:space="preserve"> </w:t>
      </w:r>
      <w:r w:rsidR="00F53EFB" w:rsidRPr="00D35FB6">
        <w:rPr>
          <w:rFonts w:asciiTheme="majorHAnsi" w:hAnsiTheme="majorHAnsi" w:cstheme="majorHAnsi"/>
          <w:sz w:val="24"/>
          <w:szCs w:val="24"/>
        </w:rPr>
        <w:t>ряд потрясений</w:t>
      </w:r>
      <w:r w:rsidRPr="00D35FB6">
        <w:rPr>
          <w:rFonts w:asciiTheme="majorHAnsi" w:hAnsiTheme="majorHAnsi" w:cstheme="majorHAnsi"/>
          <w:sz w:val="24"/>
          <w:szCs w:val="24"/>
        </w:rPr>
        <w:t>. Пер</w:t>
      </w:r>
      <w:r w:rsidR="00FC3026" w:rsidRPr="00D35FB6">
        <w:rPr>
          <w:rFonts w:asciiTheme="majorHAnsi" w:hAnsiTheme="majorHAnsi" w:cstheme="majorHAnsi"/>
          <w:sz w:val="24"/>
          <w:szCs w:val="24"/>
        </w:rPr>
        <w:t>вое</w:t>
      </w:r>
      <w:r w:rsidRPr="00D35FB6">
        <w:rPr>
          <w:rFonts w:asciiTheme="majorHAnsi" w:hAnsiTheme="majorHAnsi" w:cstheme="majorHAnsi"/>
          <w:sz w:val="24"/>
          <w:szCs w:val="24"/>
        </w:rPr>
        <w:t xml:space="preserve"> из них </w:t>
      </w:r>
      <w:r w:rsidR="00A45BE6" w:rsidRPr="00D35FB6">
        <w:rPr>
          <w:rFonts w:asciiTheme="majorHAnsi" w:hAnsiTheme="majorHAnsi" w:cstheme="majorHAnsi"/>
          <w:sz w:val="24"/>
          <w:szCs w:val="24"/>
        </w:rPr>
        <w:t>заключа</w:t>
      </w:r>
      <w:r w:rsidR="005D5EBE" w:rsidRPr="00D35FB6">
        <w:rPr>
          <w:rFonts w:asciiTheme="majorHAnsi" w:hAnsiTheme="majorHAnsi" w:cstheme="majorHAnsi"/>
          <w:sz w:val="24"/>
          <w:szCs w:val="24"/>
        </w:rPr>
        <w:t>л</w:t>
      </w:r>
      <w:r w:rsidR="00FC3026" w:rsidRPr="00D35FB6">
        <w:rPr>
          <w:rFonts w:asciiTheme="majorHAnsi" w:hAnsiTheme="majorHAnsi" w:cstheme="majorHAnsi"/>
          <w:sz w:val="24"/>
          <w:szCs w:val="24"/>
        </w:rPr>
        <w:t>ось</w:t>
      </w:r>
      <w:r w:rsidR="00A45BE6" w:rsidRPr="00D35FB6">
        <w:rPr>
          <w:rFonts w:asciiTheme="majorHAnsi" w:hAnsiTheme="majorHAnsi" w:cstheme="majorHAnsi"/>
          <w:sz w:val="24"/>
          <w:szCs w:val="24"/>
        </w:rPr>
        <w:t xml:space="preserve"> в отсутствии </w:t>
      </w:r>
      <w:r w:rsidRPr="00D35FB6">
        <w:rPr>
          <w:rFonts w:asciiTheme="majorHAnsi" w:hAnsiTheme="majorHAnsi" w:cstheme="majorHAnsi"/>
          <w:sz w:val="24"/>
          <w:szCs w:val="24"/>
        </w:rPr>
        <w:t>официальных представителей и неопределенност</w:t>
      </w:r>
      <w:r w:rsidR="00160A9C" w:rsidRPr="00D35FB6">
        <w:rPr>
          <w:rFonts w:asciiTheme="majorHAnsi" w:hAnsiTheme="majorHAnsi" w:cstheme="majorHAnsi"/>
          <w:sz w:val="24"/>
          <w:szCs w:val="24"/>
        </w:rPr>
        <w:t xml:space="preserve">и </w:t>
      </w:r>
      <w:r w:rsidRPr="00D35FB6">
        <w:rPr>
          <w:rFonts w:asciiTheme="majorHAnsi" w:hAnsiTheme="majorHAnsi" w:cstheme="majorHAnsi"/>
          <w:sz w:val="24"/>
          <w:szCs w:val="24"/>
        </w:rPr>
        <w:t>в</w:t>
      </w:r>
      <w:r w:rsidR="005D5EBE" w:rsidRPr="00D35FB6">
        <w:rPr>
          <w:rFonts w:asciiTheme="majorHAnsi" w:hAnsiTheme="majorHAnsi" w:cstheme="majorHAnsi"/>
          <w:sz w:val="24"/>
          <w:szCs w:val="24"/>
        </w:rPr>
        <w:t xml:space="preserve"> оценке</w:t>
      </w:r>
      <w:r w:rsidRPr="00D35FB6">
        <w:rPr>
          <w:rFonts w:asciiTheme="majorHAnsi" w:hAnsiTheme="majorHAnsi" w:cstheme="majorHAnsi"/>
          <w:sz w:val="24"/>
          <w:szCs w:val="24"/>
        </w:rPr>
        <w:t xml:space="preserve"> стоимости данных </w:t>
      </w:r>
      <w:r w:rsidR="000A4732" w:rsidRPr="00D35FB6">
        <w:rPr>
          <w:rFonts w:asciiTheme="majorHAnsi" w:hAnsiTheme="majorHAnsi" w:cstheme="majorHAnsi"/>
          <w:sz w:val="24"/>
          <w:szCs w:val="24"/>
        </w:rPr>
        <w:t>транспортных средств</w:t>
      </w:r>
      <w:r w:rsidRPr="00D35FB6">
        <w:rPr>
          <w:rFonts w:asciiTheme="majorHAnsi" w:hAnsiTheme="majorHAnsi" w:cstheme="majorHAnsi"/>
          <w:sz w:val="24"/>
          <w:szCs w:val="24"/>
        </w:rPr>
        <w:t>. В начале периода мы наблюдали существенный рост цен, продиктованный спросом.</w:t>
      </w:r>
      <w:r w:rsidR="00160A9C" w:rsidRPr="00D35FB6">
        <w:rPr>
          <w:rFonts w:asciiTheme="majorHAnsi" w:hAnsiTheme="majorHAnsi" w:cstheme="majorHAnsi"/>
          <w:sz w:val="24"/>
          <w:szCs w:val="24"/>
        </w:rPr>
        <w:t xml:space="preserve"> </w:t>
      </w:r>
      <w:r w:rsidR="00351CAF" w:rsidRPr="00D35FB6">
        <w:rPr>
          <w:rFonts w:asciiTheme="majorHAnsi" w:hAnsiTheme="majorHAnsi" w:cstheme="majorHAnsi"/>
          <w:sz w:val="24"/>
          <w:szCs w:val="24"/>
        </w:rPr>
        <w:t>Второ</w:t>
      </w:r>
      <w:r w:rsidR="00FC3026" w:rsidRPr="00D35FB6">
        <w:rPr>
          <w:rFonts w:asciiTheme="majorHAnsi" w:hAnsiTheme="majorHAnsi" w:cstheme="majorHAnsi"/>
          <w:sz w:val="24"/>
          <w:szCs w:val="24"/>
        </w:rPr>
        <w:t>е</w:t>
      </w:r>
      <w:r w:rsidR="005D5EBE" w:rsidRPr="00D35FB6">
        <w:rPr>
          <w:rFonts w:asciiTheme="majorHAnsi" w:hAnsiTheme="majorHAnsi" w:cstheme="majorHAnsi"/>
          <w:sz w:val="24"/>
          <w:szCs w:val="24"/>
        </w:rPr>
        <w:t xml:space="preserve"> </w:t>
      </w:r>
      <w:r w:rsidR="00160A9C" w:rsidRPr="00D35FB6">
        <w:rPr>
          <w:rFonts w:asciiTheme="majorHAnsi" w:hAnsiTheme="majorHAnsi" w:cstheme="majorHAnsi"/>
          <w:sz w:val="24"/>
          <w:szCs w:val="24"/>
        </w:rPr>
        <w:t>состоял</w:t>
      </w:r>
      <w:r w:rsidR="00FC3026" w:rsidRPr="00D35FB6">
        <w:rPr>
          <w:rFonts w:asciiTheme="majorHAnsi" w:hAnsiTheme="majorHAnsi" w:cstheme="majorHAnsi"/>
          <w:sz w:val="24"/>
          <w:szCs w:val="24"/>
        </w:rPr>
        <w:t>о</w:t>
      </w:r>
      <w:r w:rsidR="00160A9C" w:rsidRPr="00D35FB6">
        <w:rPr>
          <w:rFonts w:asciiTheme="majorHAnsi" w:hAnsiTheme="majorHAnsi" w:cstheme="majorHAnsi"/>
          <w:sz w:val="24"/>
          <w:szCs w:val="24"/>
        </w:rPr>
        <w:t xml:space="preserve"> в том, что</w:t>
      </w:r>
      <w:r w:rsidR="00A45BE6" w:rsidRPr="00D35FB6">
        <w:rPr>
          <w:rFonts w:asciiTheme="majorHAnsi" w:hAnsiTheme="majorHAnsi" w:cstheme="majorHAnsi"/>
          <w:sz w:val="24"/>
          <w:szCs w:val="24"/>
        </w:rPr>
        <w:t xml:space="preserve"> </w:t>
      </w:r>
      <w:r w:rsidRPr="00D35FB6">
        <w:rPr>
          <w:rFonts w:asciiTheme="majorHAnsi" w:hAnsiTheme="majorHAnsi" w:cstheme="majorHAnsi"/>
          <w:sz w:val="24"/>
          <w:szCs w:val="24"/>
        </w:rPr>
        <w:t xml:space="preserve">отсутствовала информация о ресурсе </w:t>
      </w:r>
      <w:r w:rsidR="000A4732" w:rsidRPr="00D35FB6">
        <w:rPr>
          <w:rFonts w:asciiTheme="majorHAnsi" w:hAnsiTheme="majorHAnsi" w:cstheme="majorHAnsi"/>
          <w:sz w:val="24"/>
          <w:szCs w:val="24"/>
        </w:rPr>
        <w:t xml:space="preserve">новых марок </w:t>
      </w:r>
      <w:r w:rsidRPr="00D35FB6">
        <w:rPr>
          <w:rFonts w:asciiTheme="majorHAnsi" w:hAnsiTheme="majorHAnsi" w:cstheme="majorHAnsi"/>
          <w:sz w:val="24"/>
          <w:szCs w:val="24"/>
        </w:rPr>
        <w:t>автомобилей, а</w:t>
      </w:r>
      <w:r w:rsidR="009D4D7D" w:rsidRPr="00D35FB6">
        <w:rPr>
          <w:rFonts w:asciiTheme="majorHAnsi" w:hAnsiTheme="majorHAnsi" w:cstheme="majorHAnsi"/>
          <w:sz w:val="24"/>
          <w:szCs w:val="24"/>
        </w:rPr>
        <w:t xml:space="preserve"> </w:t>
      </w:r>
      <w:r w:rsidRPr="00D35FB6">
        <w:rPr>
          <w:rFonts w:asciiTheme="majorHAnsi" w:hAnsiTheme="majorHAnsi" w:cstheme="majorHAnsi"/>
          <w:sz w:val="24"/>
          <w:szCs w:val="24"/>
        </w:rPr>
        <w:t xml:space="preserve">это ключевой параметр в логистической отрасли. </w:t>
      </w:r>
    </w:p>
    <w:p w14:paraId="1CB1EF07" w14:textId="65E30177" w:rsidR="000F7E06" w:rsidRPr="00D35FB6" w:rsidRDefault="00160A9C" w:rsidP="004036DF">
      <w:pPr>
        <w:spacing w:before="240" w:line="240" w:lineRule="auto"/>
        <w:jc w:val="both"/>
        <w:rPr>
          <w:rFonts w:asciiTheme="majorHAnsi" w:hAnsiTheme="majorHAnsi" w:cstheme="majorHAnsi"/>
          <w:sz w:val="24"/>
          <w:szCs w:val="24"/>
        </w:rPr>
      </w:pPr>
      <w:r w:rsidRPr="00D35FB6">
        <w:rPr>
          <w:rFonts w:asciiTheme="majorHAnsi" w:hAnsiTheme="majorHAnsi" w:cstheme="majorHAnsi"/>
          <w:sz w:val="24"/>
          <w:szCs w:val="24"/>
        </w:rPr>
        <w:lastRenderedPageBreak/>
        <w:t xml:space="preserve">Итогом сложившихся факторов (неопределенность спроса, стоимости, потребительских характеристик, эксплуатационных затрат) стала ситуация, при которой лизинговые компании фиксировали максимальное количество отказов клиентов от ТС, убытки от вторичной реализации, сложности урегулирования страховых случаев из-за неопределенных сроков ремонта, что привело к достаточно высоким затратам. </w:t>
      </w:r>
      <w:r w:rsidR="00343D87" w:rsidRPr="00D35FB6">
        <w:rPr>
          <w:rFonts w:asciiTheme="majorHAnsi" w:hAnsiTheme="majorHAnsi" w:cstheme="majorHAnsi"/>
          <w:sz w:val="24"/>
          <w:szCs w:val="24"/>
        </w:rPr>
        <w:t>На основании полученного опыта большая часть крупных федеральных лизинговых компаний изменила свой подход к финансированию данного вида техники на более консервативный, я бы даже сказал — осторожный.</w:t>
      </w:r>
    </w:p>
    <w:p w14:paraId="2E4440F3" w14:textId="77777777" w:rsidR="00A44CB8" w:rsidRPr="00D35FB6" w:rsidRDefault="00A44CB8" w:rsidP="004036DF">
      <w:pPr>
        <w:shd w:val="clear" w:color="auto" w:fill="FBE4D5" w:themeFill="accent2" w:themeFillTint="33"/>
        <w:spacing w:before="240" w:after="0" w:line="240" w:lineRule="auto"/>
        <w:jc w:val="both"/>
        <w:rPr>
          <w:rFonts w:asciiTheme="majorHAnsi" w:hAnsiTheme="majorHAnsi" w:cstheme="majorHAnsi"/>
          <w:sz w:val="24"/>
          <w:szCs w:val="24"/>
        </w:rPr>
      </w:pPr>
      <w:r w:rsidRPr="00D35FB6">
        <w:rPr>
          <w:rFonts w:asciiTheme="majorHAnsi" w:hAnsiTheme="majorHAnsi" w:cstheme="majorHAnsi"/>
          <w:sz w:val="24"/>
          <w:szCs w:val="24"/>
        </w:rPr>
        <w:t>НАПИ:</w:t>
      </w:r>
    </w:p>
    <w:p w14:paraId="3148E29D" w14:textId="2C1799E8" w:rsidR="00D92D8A" w:rsidRPr="00D35FB6" w:rsidRDefault="00AC2320" w:rsidP="004036DF">
      <w:pPr>
        <w:shd w:val="clear" w:color="auto" w:fill="FBE4D5" w:themeFill="accent2" w:themeFillTint="33"/>
        <w:spacing w:before="240" w:after="0" w:line="240" w:lineRule="auto"/>
        <w:jc w:val="both"/>
        <w:rPr>
          <w:rFonts w:asciiTheme="majorHAnsi" w:hAnsiTheme="majorHAnsi" w:cstheme="majorHAnsi"/>
          <w:sz w:val="24"/>
          <w:szCs w:val="24"/>
        </w:rPr>
      </w:pPr>
      <w:r w:rsidRPr="00D35FB6">
        <w:rPr>
          <w:rFonts w:asciiTheme="majorHAnsi" w:hAnsiTheme="majorHAnsi" w:cstheme="majorHAnsi"/>
          <w:sz w:val="24"/>
          <w:szCs w:val="24"/>
        </w:rPr>
        <w:t>Н</w:t>
      </w:r>
      <w:r w:rsidR="00271526" w:rsidRPr="00D35FB6">
        <w:rPr>
          <w:rFonts w:asciiTheme="majorHAnsi" w:hAnsiTheme="majorHAnsi" w:cstheme="majorHAnsi"/>
          <w:sz w:val="24"/>
          <w:szCs w:val="24"/>
        </w:rPr>
        <w:t xml:space="preserve">а фоне </w:t>
      </w:r>
      <w:r w:rsidR="00D92D8A" w:rsidRPr="00D35FB6">
        <w:rPr>
          <w:rFonts w:asciiTheme="majorHAnsi" w:hAnsiTheme="majorHAnsi" w:cstheme="majorHAnsi"/>
          <w:sz w:val="24"/>
          <w:szCs w:val="24"/>
        </w:rPr>
        <w:t xml:space="preserve">ранее упомянутого </w:t>
      </w:r>
      <w:r w:rsidR="00271526" w:rsidRPr="00D35FB6">
        <w:rPr>
          <w:rFonts w:asciiTheme="majorHAnsi" w:hAnsiTheme="majorHAnsi" w:cstheme="majorHAnsi"/>
          <w:sz w:val="24"/>
          <w:szCs w:val="24"/>
        </w:rPr>
        <w:t xml:space="preserve">уменьшения выдачи техники в лизинг </w:t>
      </w:r>
      <w:r w:rsidR="00E712E1" w:rsidRPr="00D35FB6">
        <w:rPr>
          <w:rFonts w:asciiTheme="majorHAnsi" w:hAnsiTheme="majorHAnsi" w:cstheme="majorHAnsi"/>
          <w:sz w:val="24"/>
          <w:szCs w:val="24"/>
        </w:rPr>
        <w:t xml:space="preserve">(-6,5%) </w:t>
      </w:r>
      <w:r w:rsidR="00271526" w:rsidRPr="00D35FB6">
        <w:rPr>
          <w:rFonts w:asciiTheme="majorHAnsi" w:hAnsiTheme="majorHAnsi" w:cstheme="majorHAnsi"/>
          <w:sz w:val="24"/>
          <w:szCs w:val="24"/>
        </w:rPr>
        <w:t xml:space="preserve">и снижения средневзвешенных цен </w:t>
      </w:r>
      <w:r w:rsidR="00E712E1" w:rsidRPr="00D35FB6">
        <w:rPr>
          <w:rFonts w:asciiTheme="majorHAnsi" w:hAnsiTheme="majorHAnsi" w:cstheme="majorHAnsi"/>
          <w:sz w:val="24"/>
          <w:szCs w:val="24"/>
        </w:rPr>
        <w:t xml:space="preserve">от лизинговых продаж </w:t>
      </w:r>
      <w:r w:rsidR="00A53F6B" w:rsidRPr="00D35FB6">
        <w:rPr>
          <w:rFonts w:asciiTheme="majorHAnsi" w:hAnsiTheme="majorHAnsi" w:cstheme="majorHAnsi"/>
          <w:sz w:val="24"/>
          <w:szCs w:val="24"/>
        </w:rPr>
        <w:t>(-</w:t>
      </w:r>
      <w:r w:rsidR="00271526" w:rsidRPr="00D35FB6">
        <w:rPr>
          <w:rFonts w:asciiTheme="majorHAnsi" w:hAnsiTheme="majorHAnsi" w:cstheme="majorHAnsi"/>
          <w:sz w:val="24"/>
          <w:szCs w:val="24"/>
        </w:rPr>
        <w:t>3,</w:t>
      </w:r>
      <w:r w:rsidRPr="00D35FB6">
        <w:rPr>
          <w:rFonts w:asciiTheme="majorHAnsi" w:hAnsiTheme="majorHAnsi" w:cstheme="majorHAnsi"/>
          <w:sz w:val="24"/>
          <w:szCs w:val="24"/>
        </w:rPr>
        <w:t>6%</w:t>
      </w:r>
      <w:r w:rsidR="00A53F6B" w:rsidRPr="00D35FB6">
        <w:rPr>
          <w:rFonts w:asciiTheme="majorHAnsi" w:hAnsiTheme="majorHAnsi" w:cstheme="majorHAnsi"/>
          <w:sz w:val="24"/>
          <w:szCs w:val="24"/>
        </w:rPr>
        <w:t>)</w:t>
      </w:r>
      <w:r w:rsidRPr="00D35FB6">
        <w:rPr>
          <w:rFonts w:asciiTheme="majorHAnsi" w:hAnsiTheme="majorHAnsi" w:cstheme="majorHAnsi"/>
          <w:sz w:val="24"/>
          <w:szCs w:val="24"/>
        </w:rPr>
        <w:t xml:space="preserve"> финансовая емкость рынка лизинга новых грузовых автомобилей сократилась на </w:t>
      </w:r>
      <w:r w:rsidR="00387AF6" w:rsidRPr="00D35FB6">
        <w:rPr>
          <w:rFonts w:asciiTheme="majorHAnsi" w:hAnsiTheme="majorHAnsi" w:cstheme="majorHAnsi"/>
          <w:sz w:val="24"/>
          <w:szCs w:val="24"/>
        </w:rPr>
        <w:t>9,8</w:t>
      </w:r>
      <w:r w:rsidR="00FF13A4" w:rsidRPr="00D35FB6">
        <w:rPr>
          <w:rFonts w:asciiTheme="majorHAnsi" w:hAnsiTheme="majorHAnsi" w:cstheme="majorHAnsi"/>
          <w:sz w:val="24"/>
          <w:szCs w:val="24"/>
        </w:rPr>
        <w:t>%</w:t>
      </w:r>
      <w:r w:rsidR="00A44CB8" w:rsidRPr="00D35FB6">
        <w:rPr>
          <w:rFonts w:asciiTheme="majorHAnsi" w:hAnsiTheme="majorHAnsi" w:cstheme="majorHAnsi"/>
          <w:sz w:val="24"/>
          <w:szCs w:val="24"/>
        </w:rPr>
        <w:t>.</w:t>
      </w:r>
    </w:p>
    <w:p w14:paraId="090B6045" w14:textId="445D7C77" w:rsidR="00344082" w:rsidRPr="00D35FB6" w:rsidRDefault="00DA0DA1" w:rsidP="004036DF">
      <w:pPr>
        <w:spacing w:before="240" w:line="240" w:lineRule="auto"/>
        <w:jc w:val="both"/>
        <w:rPr>
          <w:rFonts w:asciiTheme="majorHAnsi" w:hAnsiTheme="majorHAnsi" w:cstheme="majorHAnsi"/>
          <w:b/>
          <w:sz w:val="24"/>
          <w:szCs w:val="24"/>
        </w:rPr>
      </w:pPr>
      <w:r w:rsidRPr="00D35FB6">
        <w:rPr>
          <w:rFonts w:asciiTheme="majorHAnsi" w:hAnsiTheme="majorHAnsi" w:cstheme="majorHAnsi"/>
          <w:b/>
          <w:sz w:val="24"/>
          <w:szCs w:val="24"/>
        </w:rPr>
        <w:t xml:space="preserve">– </w:t>
      </w:r>
      <w:r w:rsidR="00267A1C" w:rsidRPr="00D35FB6">
        <w:rPr>
          <w:rFonts w:asciiTheme="majorHAnsi" w:hAnsiTheme="majorHAnsi" w:cstheme="majorHAnsi"/>
          <w:b/>
          <w:sz w:val="24"/>
          <w:szCs w:val="24"/>
        </w:rPr>
        <w:t>Как вы оцениваете</w:t>
      </w:r>
      <w:r w:rsidR="00414A56" w:rsidRPr="00D35FB6">
        <w:rPr>
          <w:rFonts w:asciiTheme="majorHAnsi" w:hAnsiTheme="majorHAnsi" w:cstheme="majorHAnsi"/>
          <w:b/>
          <w:sz w:val="24"/>
          <w:szCs w:val="24"/>
        </w:rPr>
        <w:t xml:space="preserve"> динамику</w:t>
      </w:r>
      <w:r w:rsidR="00267A1C" w:rsidRPr="00D35FB6">
        <w:rPr>
          <w:rFonts w:asciiTheme="majorHAnsi" w:hAnsiTheme="majorHAnsi" w:cstheme="majorHAnsi"/>
          <w:b/>
          <w:sz w:val="24"/>
          <w:szCs w:val="24"/>
        </w:rPr>
        <w:t xml:space="preserve"> финансов</w:t>
      </w:r>
      <w:r w:rsidR="00414A56" w:rsidRPr="00D35FB6">
        <w:rPr>
          <w:rFonts w:asciiTheme="majorHAnsi" w:hAnsiTheme="majorHAnsi" w:cstheme="majorHAnsi"/>
          <w:b/>
          <w:sz w:val="24"/>
          <w:szCs w:val="24"/>
        </w:rPr>
        <w:t xml:space="preserve">ой </w:t>
      </w:r>
      <w:r w:rsidR="00267A1C" w:rsidRPr="00D35FB6">
        <w:rPr>
          <w:rFonts w:asciiTheme="majorHAnsi" w:hAnsiTheme="majorHAnsi" w:cstheme="majorHAnsi"/>
          <w:b/>
          <w:sz w:val="24"/>
          <w:szCs w:val="24"/>
        </w:rPr>
        <w:t>емкост</w:t>
      </w:r>
      <w:r w:rsidR="00414A56" w:rsidRPr="00D35FB6">
        <w:rPr>
          <w:rFonts w:asciiTheme="majorHAnsi" w:hAnsiTheme="majorHAnsi" w:cstheme="majorHAnsi"/>
          <w:b/>
          <w:sz w:val="24"/>
          <w:szCs w:val="24"/>
        </w:rPr>
        <w:t>и</w:t>
      </w:r>
      <w:r w:rsidR="00267A1C" w:rsidRPr="00D35FB6">
        <w:rPr>
          <w:rFonts w:asciiTheme="majorHAnsi" w:hAnsiTheme="majorHAnsi" w:cstheme="majorHAnsi"/>
          <w:b/>
          <w:sz w:val="24"/>
          <w:szCs w:val="24"/>
        </w:rPr>
        <w:t xml:space="preserve"> рынка лизинга грузовых автомобилей </w:t>
      </w:r>
      <w:r w:rsidR="00414A56" w:rsidRPr="00D35FB6">
        <w:rPr>
          <w:rFonts w:asciiTheme="majorHAnsi" w:hAnsiTheme="majorHAnsi" w:cstheme="majorHAnsi"/>
          <w:b/>
          <w:sz w:val="24"/>
          <w:szCs w:val="24"/>
        </w:rPr>
        <w:t>в 202</w:t>
      </w:r>
      <w:r w:rsidR="005A2FF3" w:rsidRPr="00D35FB6">
        <w:rPr>
          <w:rFonts w:asciiTheme="majorHAnsi" w:hAnsiTheme="majorHAnsi" w:cstheme="majorHAnsi"/>
          <w:b/>
          <w:sz w:val="24"/>
          <w:szCs w:val="24"/>
        </w:rPr>
        <w:t>5</w:t>
      </w:r>
      <w:r w:rsidR="00414A56" w:rsidRPr="00D35FB6">
        <w:rPr>
          <w:rFonts w:asciiTheme="majorHAnsi" w:hAnsiTheme="majorHAnsi" w:cstheme="majorHAnsi"/>
          <w:b/>
          <w:sz w:val="24"/>
          <w:szCs w:val="24"/>
        </w:rPr>
        <w:t xml:space="preserve">-2026 </w:t>
      </w:r>
      <w:r w:rsidR="006F63E9" w:rsidRPr="00D35FB6">
        <w:rPr>
          <w:rFonts w:asciiTheme="majorHAnsi" w:hAnsiTheme="majorHAnsi" w:cstheme="majorHAnsi"/>
          <w:b/>
          <w:sz w:val="24"/>
          <w:szCs w:val="24"/>
        </w:rPr>
        <w:t>гг.</w:t>
      </w:r>
      <w:r w:rsidR="00267A1C" w:rsidRPr="00D35FB6">
        <w:rPr>
          <w:rFonts w:asciiTheme="majorHAnsi" w:hAnsiTheme="majorHAnsi" w:cstheme="majorHAnsi"/>
          <w:b/>
          <w:sz w:val="24"/>
          <w:szCs w:val="24"/>
        </w:rPr>
        <w:t xml:space="preserve">? </w:t>
      </w:r>
    </w:p>
    <w:p w14:paraId="2AA7E0AC" w14:textId="22031856" w:rsidR="00AC20F1" w:rsidRPr="00D35FB6" w:rsidRDefault="00DA0DA1" w:rsidP="004036DF">
      <w:pPr>
        <w:spacing w:before="240" w:line="240" w:lineRule="auto"/>
        <w:jc w:val="both"/>
        <w:rPr>
          <w:rFonts w:asciiTheme="majorHAnsi" w:hAnsiTheme="majorHAnsi" w:cstheme="majorHAnsi"/>
          <w:sz w:val="24"/>
          <w:szCs w:val="24"/>
        </w:rPr>
      </w:pPr>
      <w:r w:rsidRPr="00D35FB6">
        <w:rPr>
          <w:rFonts w:asciiTheme="majorHAnsi" w:hAnsiTheme="majorHAnsi" w:cstheme="majorHAnsi"/>
          <w:sz w:val="24"/>
          <w:szCs w:val="24"/>
        </w:rPr>
        <w:t xml:space="preserve">– </w:t>
      </w:r>
      <w:r w:rsidR="00344082" w:rsidRPr="00D35FB6">
        <w:rPr>
          <w:rFonts w:asciiTheme="majorHAnsi" w:hAnsiTheme="majorHAnsi" w:cstheme="majorHAnsi"/>
          <w:sz w:val="24"/>
          <w:szCs w:val="24"/>
        </w:rPr>
        <w:t xml:space="preserve">2026 год </w:t>
      </w:r>
      <w:r w:rsidR="00045D81" w:rsidRPr="00D35FB6">
        <w:rPr>
          <w:rFonts w:asciiTheme="majorHAnsi" w:hAnsiTheme="majorHAnsi" w:cstheme="majorHAnsi"/>
          <w:sz w:val="24"/>
          <w:szCs w:val="24"/>
        </w:rPr>
        <w:t>продолжается</w:t>
      </w:r>
      <w:r w:rsidR="00344082" w:rsidRPr="00D35FB6">
        <w:rPr>
          <w:rFonts w:asciiTheme="majorHAnsi" w:hAnsiTheme="majorHAnsi" w:cstheme="majorHAnsi"/>
          <w:sz w:val="24"/>
          <w:szCs w:val="24"/>
        </w:rPr>
        <w:t xml:space="preserve"> в условиях борьбы с кризисными явлениями, сказывающимися на экономике нашей страны, и демонстрирует снижение емкости рынка грузовых автомобилей.</w:t>
      </w:r>
      <w:r w:rsidR="00AC20F1" w:rsidRPr="00D35FB6">
        <w:rPr>
          <w:rFonts w:asciiTheme="majorHAnsi" w:hAnsiTheme="majorHAnsi" w:cstheme="majorHAnsi"/>
          <w:sz w:val="24"/>
          <w:szCs w:val="24"/>
        </w:rPr>
        <w:t xml:space="preserve"> </w:t>
      </w:r>
      <w:r w:rsidR="00045D81" w:rsidRPr="00D35FB6">
        <w:rPr>
          <w:rFonts w:asciiTheme="majorHAnsi" w:hAnsiTheme="majorHAnsi" w:cstheme="majorHAnsi"/>
          <w:sz w:val="24"/>
          <w:szCs w:val="24"/>
        </w:rPr>
        <w:t>В 2027 году, по нашим прогнозам,</w:t>
      </w:r>
      <w:r w:rsidR="00344082" w:rsidRPr="00D35FB6">
        <w:rPr>
          <w:rFonts w:asciiTheme="majorHAnsi" w:hAnsiTheme="majorHAnsi" w:cstheme="majorHAnsi"/>
          <w:sz w:val="24"/>
          <w:szCs w:val="24"/>
        </w:rPr>
        <w:t xml:space="preserve"> ситуация, складывающаяся в транспортной отрасли, скорее всего, не покажет существенного падения. </w:t>
      </w:r>
      <w:r w:rsidR="004A4C3B" w:rsidRPr="00D35FB6">
        <w:rPr>
          <w:rFonts w:asciiTheme="majorHAnsi" w:hAnsiTheme="majorHAnsi" w:cstheme="majorHAnsi"/>
          <w:sz w:val="24"/>
          <w:szCs w:val="24"/>
        </w:rPr>
        <w:t>Вероятно,</w:t>
      </w:r>
      <w:r w:rsidR="00045D81" w:rsidRPr="00D35FB6">
        <w:rPr>
          <w:rFonts w:asciiTheme="majorHAnsi" w:hAnsiTheme="majorHAnsi" w:cstheme="majorHAnsi"/>
          <w:sz w:val="24"/>
          <w:szCs w:val="24"/>
        </w:rPr>
        <w:t xml:space="preserve"> рынок</w:t>
      </w:r>
      <w:r w:rsidR="00344082" w:rsidRPr="00D35FB6">
        <w:rPr>
          <w:rFonts w:asciiTheme="majorHAnsi" w:hAnsiTheme="majorHAnsi" w:cstheme="majorHAnsi"/>
          <w:sz w:val="24"/>
          <w:szCs w:val="24"/>
        </w:rPr>
        <w:t xml:space="preserve"> будет находиться в зоне </w:t>
      </w:r>
      <w:r w:rsidR="00387AF6" w:rsidRPr="00D35FB6">
        <w:rPr>
          <w:rFonts w:asciiTheme="majorHAnsi" w:hAnsiTheme="majorHAnsi" w:cstheme="majorHAnsi"/>
          <w:sz w:val="24"/>
          <w:szCs w:val="24"/>
        </w:rPr>
        <w:t xml:space="preserve">той же </w:t>
      </w:r>
      <w:r w:rsidR="00344082" w:rsidRPr="00D35FB6">
        <w:rPr>
          <w:rFonts w:asciiTheme="majorHAnsi" w:hAnsiTheme="majorHAnsi" w:cstheme="majorHAnsi"/>
          <w:sz w:val="24"/>
          <w:szCs w:val="24"/>
        </w:rPr>
        <w:t>коррекции — порядка 10–15% год к году</w:t>
      </w:r>
      <w:r w:rsidR="003B7A27" w:rsidRPr="00D35FB6">
        <w:rPr>
          <w:rFonts w:asciiTheme="majorHAnsi" w:hAnsiTheme="majorHAnsi" w:cstheme="majorHAnsi"/>
          <w:sz w:val="24"/>
          <w:szCs w:val="24"/>
        </w:rPr>
        <w:t xml:space="preserve"> положительной коррекции</w:t>
      </w:r>
      <w:r w:rsidR="00344082" w:rsidRPr="00D35FB6">
        <w:rPr>
          <w:rFonts w:asciiTheme="majorHAnsi" w:hAnsiTheme="majorHAnsi" w:cstheme="majorHAnsi"/>
          <w:sz w:val="24"/>
          <w:szCs w:val="24"/>
        </w:rPr>
        <w:t>.</w:t>
      </w:r>
      <w:r w:rsidR="00AC20F1" w:rsidRPr="00D35FB6">
        <w:rPr>
          <w:rFonts w:asciiTheme="majorHAnsi" w:hAnsiTheme="majorHAnsi" w:cstheme="majorHAnsi"/>
          <w:sz w:val="24"/>
          <w:szCs w:val="24"/>
        </w:rPr>
        <w:t xml:space="preserve"> </w:t>
      </w:r>
    </w:p>
    <w:p w14:paraId="4E2F373C" w14:textId="0FBD6A26" w:rsidR="00344082" w:rsidRPr="00D35FB6" w:rsidRDefault="00DA0DA1" w:rsidP="004036DF">
      <w:pPr>
        <w:spacing w:before="240" w:line="240" w:lineRule="auto"/>
        <w:jc w:val="both"/>
        <w:rPr>
          <w:rFonts w:asciiTheme="majorHAnsi" w:hAnsiTheme="majorHAnsi" w:cstheme="majorHAnsi"/>
          <w:b/>
          <w:sz w:val="24"/>
          <w:szCs w:val="24"/>
        </w:rPr>
      </w:pPr>
      <w:r w:rsidRPr="00D35FB6">
        <w:rPr>
          <w:rFonts w:asciiTheme="majorHAnsi" w:hAnsiTheme="majorHAnsi" w:cstheme="majorHAnsi"/>
          <w:b/>
          <w:sz w:val="24"/>
          <w:szCs w:val="24"/>
        </w:rPr>
        <w:t xml:space="preserve">–  </w:t>
      </w:r>
      <w:r w:rsidR="00267A1C" w:rsidRPr="00D35FB6">
        <w:rPr>
          <w:rFonts w:asciiTheme="majorHAnsi" w:hAnsiTheme="majorHAnsi" w:cstheme="majorHAnsi"/>
          <w:b/>
          <w:sz w:val="24"/>
          <w:szCs w:val="24"/>
        </w:rPr>
        <w:t>Какие факторы влияют на формирование финансовой составляющей рынка лизи</w:t>
      </w:r>
      <w:r w:rsidRPr="00D35FB6">
        <w:rPr>
          <w:rFonts w:asciiTheme="majorHAnsi" w:hAnsiTheme="majorHAnsi" w:cstheme="majorHAnsi"/>
          <w:b/>
          <w:sz w:val="24"/>
          <w:szCs w:val="24"/>
        </w:rPr>
        <w:t>нга грузовых ТС?</w:t>
      </w:r>
      <w:r w:rsidR="00414A56" w:rsidRPr="00D35FB6">
        <w:rPr>
          <w:rFonts w:asciiTheme="majorHAnsi" w:hAnsiTheme="majorHAnsi" w:cstheme="majorHAnsi"/>
          <w:b/>
          <w:sz w:val="24"/>
          <w:szCs w:val="24"/>
        </w:rPr>
        <w:t xml:space="preserve"> </w:t>
      </w:r>
    </w:p>
    <w:p w14:paraId="1A712007" w14:textId="2C428E7B" w:rsidR="00DA0DA1" w:rsidRPr="00D35FB6" w:rsidRDefault="00DA0DA1" w:rsidP="004036DF">
      <w:pPr>
        <w:spacing w:before="240" w:line="240" w:lineRule="auto"/>
        <w:jc w:val="both"/>
        <w:rPr>
          <w:rFonts w:asciiTheme="majorHAnsi" w:hAnsiTheme="majorHAnsi" w:cstheme="majorHAnsi"/>
          <w:sz w:val="24"/>
          <w:szCs w:val="24"/>
        </w:rPr>
      </w:pPr>
      <w:r w:rsidRPr="00D35FB6">
        <w:rPr>
          <w:rFonts w:asciiTheme="majorHAnsi" w:hAnsiTheme="majorHAnsi" w:cstheme="majorHAnsi"/>
          <w:sz w:val="24"/>
          <w:szCs w:val="24"/>
        </w:rPr>
        <w:t xml:space="preserve">– </w:t>
      </w:r>
      <w:r w:rsidR="00344082" w:rsidRPr="00D35FB6">
        <w:rPr>
          <w:rFonts w:asciiTheme="majorHAnsi" w:hAnsiTheme="majorHAnsi" w:cstheme="majorHAnsi"/>
          <w:sz w:val="24"/>
          <w:szCs w:val="24"/>
        </w:rPr>
        <w:t>Если рассм</w:t>
      </w:r>
      <w:r w:rsidRPr="00D35FB6">
        <w:rPr>
          <w:rFonts w:asciiTheme="majorHAnsi" w:hAnsiTheme="majorHAnsi" w:cstheme="majorHAnsi"/>
          <w:sz w:val="24"/>
          <w:szCs w:val="24"/>
        </w:rPr>
        <w:t xml:space="preserve">атривать </w:t>
      </w:r>
      <w:r w:rsidR="00344082" w:rsidRPr="00D35FB6">
        <w:rPr>
          <w:rFonts w:asciiTheme="majorHAnsi" w:hAnsiTheme="majorHAnsi" w:cstheme="majorHAnsi"/>
          <w:sz w:val="24"/>
          <w:szCs w:val="24"/>
        </w:rPr>
        <w:t>ключевые факторы финансовой составляющей рынка лизинга грузовых ТС, то я бы разделил их на две большие группы. Первую</w:t>
      </w:r>
      <w:r w:rsidR="009D4D7D" w:rsidRPr="00D35FB6">
        <w:rPr>
          <w:rFonts w:asciiTheme="majorHAnsi" w:hAnsiTheme="majorHAnsi" w:cstheme="majorHAnsi"/>
          <w:sz w:val="24"/>
          <w:szCs w:val="24"/>
        </w:rPr>
        <w:t xml:space="preserve"> </w:t>
      </w:r>
      <w:r w:rsidR="00344082" w:rsidRPr="00D35FB6">
        <w:rPr>
          <w:rFonts w:asciiTheme="majorHAnsi" w:hAnsiTheme="majorHAnsi" w:cstheme="majorHAnsi"/>
          <w:sz w:val="24"/>
          <w:szCs w:val="24"/>
        </w:rPr>
        <w:t xml:space="preserve">я бы обозначил как факторы, сформированные объемом потребности в логистических мощностях нашей страны, а вторую </w:t>
      </w:r>
      <w:r w:rsidR="009D4D7D" w:rsidRPr="00D35FB6">
        <w:rPr>
          <w:rFonts w:asciiTheme="majorHAnsi" w:hAnsiTheme="majorHAnsi" w:cstheme="majorHAnsi"/>
          <w:sz w:val="24"/>
          <w:szCs w:val="24"/>
        </w:rPr>
        <w:t xml:space="preserve">- </w:t>
      </w:r>
      <w:r w:rsidR="00344082" w:rsidRPr="00D35FB6">
        <w:rPr>
          <w:rFonts w:asciiTheme="majorHAnsi" w:hAnsiTheme="majorHAnsi" w:cstheme="majorHAnsi"/>
          <w:sz w:val="24"/>
          <w:szCs w:val="24"/>
        </w:rPr>
        <w:t>как кумулятивный финансовый результат от деятельности логистических операторов.</w:t>
      </w:r>
    </w:p>
    <w:p w14:paraId="142DBCF0" w14:textId="14CF90C6" w:rsidR="003920C5" w:rsidRPr="00D35FB6" w:rsidRDefault="004A4C3B" w:rsidP="004036DF">
      <w:pPr>
        <w:spacing w:before="240" w:line="240" w:lineRule="auto"/>
        <w:jc w:val="both"/>
        <w:rPr>
          <w:rFonts w:asciiTheme="majorHAnsi" w:hAnsiTheme="majorHAnsi" w:cstheme="majorHAnsi"/>
          <w:sz w:val="24"/>
          <w:szCs w:val="24"/>
        </w:rPr>
      </w:pPr>
      <w:r w:rsidRPr="00D35FB6">
        <w:rPr>
          <w:rFonts w:asciiTheme="majorHAnsi" w:hAnsiTheme="majorHAnsi" w:cstheme="majorHAnsi"/>
          <w:sz w:val="24"/>
          <w:szCs w:val="24"/>
        </w:rPr>
        <w:t>О</w:t>
      </w:r>
      <w:r w:rsidR="00344082" w:rsidRPr="00D35FB6">
        <w:rPr>
          <w:rFonts w:asciiTheme="majorHAnsi" w:hAnsiTheme="majorHAnsi" w:cstheme="majorHAnsi"/>
          <w:sz w:val="24"/>
          <w:szCs w:val="24"/>
        </w:rPr>
        <w:t>бъем перевозок в нашей стране существенно скорректировался в течение последних лет. Именно поэтому мы видим демпинг со стороны крупных перевозчиков</w:t>
      </w:r>
      <w:r w:rsidRPr="00D35FB6">
        <w:rPr>
          <w:rFonts w:asciiTheme="majorHAnsi" w:hAnsiTheme="majorHAnsi" w:cstheme="majorHAnsi"/>
          <w:sz w:val="24"/>
          <w:szCs w:val="24"/>
        </w:rPr>
        <w:t>, которым необходимо содержать свой парк,</w:t>
      </w:r>
      <w:r w:rsidR="00344082" w:rsidRPr="00D35FB6">
        <w:rPr>
          <w:rFonts w:asciiTheme="majorHAnsi" w:hAnsiTheme="majorHAnsi" w:cstheme="majorHAnsi"/>
          <w:sz w:val="24"/>
          <w:szCs w:val="24"/>
        </w:rPr>
        <w:t xml:space="preserve"> и фактически </w:t>
      </w:r>
      <w:r w:rsidR="000559DA" w:rsidRPr="00D35FB6">
        <w:rPr>
          <w:rFonts w:asciiTheme="majorHAnsi" w:hAnsiTheme="majorHAnsi" w:cstheme="majorHAnsi"/>
          <w:sz w:val="24"/>
          <w:szCs w:val="24"/>
        </w:rPr>
        <w:t>ухудшающееся</w:t>
      </w:r>
      <w:r w:rsidR="00344082" w:rsidRPr="00D35FB6">
        <w:rPr>
          <w:rFonts w:asciiTheme="majorHAnsi" w:hAnsiTheme="majorHAnsi" w:cstheme="majorHAnsi"/>
          <w:sz w:val="24"/>
          <w:szCs w:val="24"/>
        </w:rPr>
        <w:t xml:space="preserve"> положение мелких транспортных компаний либо ИП. Это обусловлено не только низкими ставками на перевозки, но и высокими затратами на обновление, обслуживание и ремонт </w:t>
      </w:r>
      <w:r w:rsidR="003B7A27" w:rsidRPr="00D35FB6">
        <w:rPr>
          <w:rFonts w:asciiTheme="majorHAnsi" w:hAnsiTheme="majorHAnsi" w:cstheme="majorHAnsi"/>
          <w:sz w:val="24"/>
          <w:szCs w:val="24"/>
        </w:rPr>
        <w:t>имеющейся</w:t>
      </w:r>
      <w:r w:rsidR="00344082" w:rsidRPr="00D35FB6">
        <w:rPr>
          <w:rFonts w:asciiTheme="majorHAnsi" w:hAnsiTheme="majorHAnsi" w:cstheme="majorHAnsi"/>
          <w:sz w:val="24"/>
          <w:szCs w:val="24"/>
        </w:rPr>
        <w:t xml:space="preserve"> техники.</w:t>
      </w:r>
    </w:p>
    <w:p w14:paraId="0F321F0F" w14:textId="5FF9FB62" w:rsidR="00344082" w:rsidRPr="00D35FB6" w:rsidRDefault="00592771" w:rsidP="004036DF">
      <w:pPr>
        <w:spacing w:before="240" w:line="240" w:lineRule="auto"/>
        <w:jc w:val="both"/>
        <w:rPr>
          <w:rFonts w:asciiTheme="majorHAnsi" w:hAnsiTheme="majorHAnsi" w:cstheme="majorHAnsi"/>
          <w:sz w:val="24"/>
          <w:szCs w:val="24"/>
        </w:rPr>
      </w:pPr>
      <w:r w:rsidRPr="00D35FB6">
        <w:rPr>
          <w:rFonts w:asciiTheme="majorHAnsi" w:hAnsiTheme="majorHAnsi" w:cstheme="majorHAnsi"/>
          <w:sz w:val="24"/>
          <w:szCs w:val="24"/>
        </w:rPr>
        <w:t>В результате</w:t>
      </w:r>
      <w:r w:rsidR="00344082" w:rsidRPr="00D35FB6">
        <w:rPr>
          <w:rFonts w:asciiTheme="majorHAnsi" w:hAnsiTheme="majorHAnsi" w:cstheme="majorHAnsi"/>
          <w:sz w:val="24"/>
          <w:szCs w:val="24"/>
        </w:rPr>
        <w:t xml:space="preserve"> мы наблюдаем снижение финансовой </w:t>
      </w:r>
      <w:r w:rsidRPr="00D35FB6">
        <w:rPr>
          <w:rFonts w:asciiTheme="majorHAnsi" w:hAnsiTheme="majorHAnsi" w:cstheme="majorHAnsi"/>
          <w:sz w:val="24"/>
          <w:szCs w:val="24"/>
        </w:rPr>
        <w:t>устойчивости</w:t>
      </w:r>
      <w:r w:rsidR="00344082" w:rsidRPr="00D35FB6">
        <w:rPr>
          <w:rFonts w:asciiTheme="majorHAnsi" w:hAnsiTheme="majorHAnsi" w:cstheme="majorHAnsi"/>
          <w:sz w:val="24"/>
          <w:szCs w:val="24"/>
        </w:rPr>
        <w:t xml:space="preserve"> транспортных компаний и </w:t>
      </w:r>
      <w:r w:rsidRPr="00D35FB6">
        <w:rPr>
          <w:rFonts w:asciiTheme="majorHAnsi" w:hAnsiTheme="majorHAnsi" w:cstheme="majorHAnsi"/>
          <w:sz w:val="24"/>
          <w:szCs w:val="24"/>
        </w:rPr>
        <w:t xml:space="preserve">рост рисков для </w:t>
      </w:r>
      <w:r w:rsidR="00344082" w:rsidRPr="00D35FB6">
        <w:rPr>
          <w:rFonts w:asciiTheme="majorHAnsi" w:hAnsiTheme="majorHAnsi" w:cstheme="majorHAnsi"/>
          <w:sz w:val="24"/>
          <w:szCs w:val="24"/>
        </w:rPr>
        <w:t>финансовых партнеров логистическ</w:t>
      </w:r>
      <w:r w:rsidRPr="00D35FB6">
        <w:rPr>
          <w:rFonts w:asciiTheme="majorHAnsi" w:hAnsiTheme="majorHAnsi" w:cstheme="majorHAnsi"/>
          <w:sz w:val="24"/>
          <w:szCs w:val="24"/>
        </w:rPr>
        <w:t xml:space="preserve">ого бизнеса. </w:t>
      </w:r>
    </w:p>
    <w:p w14:paraId="5AD8DA0D" w14:textId="37692508" w:rsidR="00344082" w:rsidRPr="00D35FB6" w:rsidRDefault="003920C5" w:rsidP="004036DF">
      <w:pPr>
        <w:spacing w:before="240" w:line="240" w:lineRule="auto"/>
        <w:jc w:val="both"/>
        <w:rPr>
          <w:rFonts w:asciiTheme="majorHAnsi" w:hAnsiTheme="majorHAnsi" w:cstheme="majorHAnsi"/>
          <w:b/>
          <w:sz w:val="24"/>
          <w:szCs w:val="24"/>
        </w:rPr>
      </w:pPr>
      <w:r w:rsidRPr="00D35FB6">
        <w:rPr>
          <w:rFonts w:asciiTheme="majorHAnsi" w:hAnsiTheme="majorHAnsi" w:cstheme="majorHAnsi"/>
          <w:b/>
          <w:sz w:val="24"/>
          <w:szCs w:val="24"/>
        </w:rPr>
        <w:t xml:space="preserve">– </w:t>
      </w:r>
      <w:r w:rsidR="004A07BC" w:rsidRPr="00D35FB6">
        <w:rPr>
          <w:rFonts w:asciiTheme="majorHAnsi" w:hAnsiTheme="majorHAnsi" w:cstheme="majorHAnsi"/>
          <w:b/>
          <w:sz w:val="24"/>
          <w:szCs w:val="24"/>
        </w:rPr>
        <w:t>В</w:t>
      </w:r>
      <w:r w:rsidR="00414A56" w:rsidRPr="00D35FB6">
        <w:rPr>
          <w:rFonts w:asciiTheme="majorHAnsi" w:hAnsiTheme="majorHAnsi" w:cstheme="majorHAnsi"/>
          <w:b/>
          <w:sz w:val="24"/>
          <w:szCs w:val="24"/>
        </w:rPr>
        <w:t>лияет</w:t>
      </w:r>
      <w:r w:rsidR="004A07BC" w:rsidRPr="00D35FB6">
        <w:rPr>
          <w:rFonts w:asciiTheme="majorHAnsi" w:hAnsiTheme="majorHAnsi" w:cstheme="majorHAnsi"/>
          <w:b/>
          <w:sz w:val="24"/>
          <w:szCs w:val="24"/>
        </w:rPr>
        <w:t xml:space="preserve"> ли</w:t>
      </w:r>
      <w:r w:rsidR="00414A56" w:rsidRPr="00D35FB6">
        <w:rPr>
          <w:rFonts w:asciiTheme="majorHAnsi" w:hAnsiTheme="majorHAnsi" w:cstheme="majorHAnsi"/>
          <w:b/>
          <w:sz w:val="24"/>
          <w:szCs w:val="24"/>
        </w:rPr>
        <w:t xml:space="preserve"> нынешняя ставка на продажи</w:t>
      </w:r>
      <w:r w:rsidR="005A2FF3" w:rsidRPr="00D35FB6">
        <w:rPr>
          <w:rFonts w:asciiTheme="majorHAnsi" w:hAnsiTheme="majorHAnsi" w:cstheme="majorHAnsi"/>
          <w:b/>
          <w:sz w:val="24"/>
          <w:szCs w:val="24"/>
        </w:rPr>
        <w:t xml:space="preserve"> и лизинг грузовых автомобилей</w:t>
      </w:r>
      <w:r w:rsidR="00414A56" w:rsidRPr="00D35FB6">
        <w:rPr>
          <w:rFonts w:asciiTheme="majorHAnsi" w:hAnsiTheme="majorHAnsi" w:cstheme="majorHAnsi"/>
          <w:b/>
          <w:sz w:val="24"/>
          <w:szCs w:val="24"/>
        </w:rPr>
        <w:t>?</w:t>
      </w:r>
    </w:p>
    <w:p w14:paraId="2A1D66C4" w14:textId="39A50AA5" w:rsidR="00344082" w:rsidRPr="00D35FB6" w:rsidRDefault="003920C5" w:rsidP="004036DF">
      <w:pPr>
        <w:spacing w:before="240" w:line="240" w:lineRule="auto"/>
        <w:jc w:val="both"/>
        <w:rPr>
          <w:rFonts w:asciiTheme="majorHAnsi" w:hAnsiTheme="majorHAnsi" w:cstheme="majorHAnsi"/>
          <w:sz w:val="24"/>
          <w:szCs w:val="24"/>
        </w:rPr>
      </w:pPr>
      <w:r w:rsidRPr="00D35FB6">
        <w:rPr>
          <w:rFonts w:asciiTheme="majorHAnsi" w:hAnsiTheme="majorHAnsi" w:cstheme="majorHAnsi"/>
          <w:sz w:val="24"/>
          <w:szCs w:val="24"/>
        </w:rPr>
        <w:t xml:space="preserve">– </w:t>
      </w:r>
      <w:r w:rsidR="00592771" w:rsidRPr="00D35FB6">
        <w:rPr>
          <w:rFonts w:asciiTheme="majorHAnsi" w:hAnsiTheme="majorHAnsi" w:cstheme="majorHAnsi"/>
          <w:sz w:val="24"/>
          <w:szCs w:val="24"/>
        </w:rPr>
        <w:t xml:space="preserve">Ключевая ставка не является определяющим фактором для рынка </w:t>
      </w:r>
      <w:r w:rsidR="003B7A27" w:rsidRPr="00D35FB6">
        <w:rPr>
          <w:rFonts w:asciiTheme="majorHAnsi" w:hAnsiTheme="majorHAnsi" w:cstheme="majorHAnsi"/>
          <w:sz w:val="24"/>
          <w:szCs w:val="24"/>
        </w:rPr>
        <w:t xml:space="preserve">лизинга </w:t>
      </w:r>
      <w:r w:rsidR="00592771" w:rsidRPr="00D35FB6">
        <w:rPr>
          <w:rFonts w:asciiTheme="majorHAnsi" w:hAnsiTheme="majorHAnsi" w:cstheme="majorHAnsi"/>
          <w:sz w:val="24"/>
          <w:szCs w:val="24"/>
        </w:rPr>
        <w:t>грузового</w:t>
      </w:r>
      <w:r w:rsidR="003B7A27" w:rsidRPr="00D35FB6">
        <w:rPr>
          <w:rFonts w:asciiTheme="majorHAnsi" w:hAnsiTheme="majorHAnsi" w:cstheme="majorHAnsi"/>
          <w:sz w:val="24"/>
          <w:szCs w:val="24"/>
        </w:rPr>
        <w:t xml:space="preserve"> транспорта</w:t>
      </w:r>
      <w:r w:rsidR="00306AC1" w:rsidRPr="00D35FB6">
        <w:rPr>
          <w:rFonts w:asciiTheme="majorHAnsi" w:hAnsiTheme="majorHAnsi" w:cstheme="majorHAnsi"/>
          <w:sz w:val="24"/>
          <w:szCs w:val="24"/>
        </w:rPr>
        <w:t>,</w:t>
      </w:r>
      <w:r w:rsidR="00344082" w:rsidRPr="00D35FB6">
        <w:rPr>
          <w:rFonts w:asciiTheme="majorHAnsi" w:hAnsiTheme="majorHAnsi" w:cstheme="majorHAnsi"/>
          <w:sz w:val="24"/>
          <w:szCs w:val="24"/>
        </w:rPr>
        <w:t xml:space="preserve"> это всего лишь один из параметров сделки по приобретению грузового автомобиля.</w:t>
      </w:r>
      <w:r w:rsidRPr="00D35FB6">
        <w:rPr>
          <w:rFonts w:asciiTheme="majorHAnsi" w:hAnsiTheme="majorHAnsi" w:cstheme="majorHAnsi"/>
          <w:sz w:val="24"/>
          <w:szCs w:val="24"/>
        </w:rPr>
        <w:t xml:space="preserve"> </w:t>
      </w:r>
      <w:r w:rsidR="00592771" w:rsidRPr="00D35FB6">
        <w:rPr>
          <w:rFonts w:asciiTheme="majorHAnsi" w:hAnsiTheme="majorHAnsi" w:cstheme="majorHAnsi"/>
          <w:sz w:val="24"/>
          <w:szCs w:val="24"/>
        </w:rPr>
        <w:t>Б</w:t>
      </w:r>
      <w:r w:rsidR="00344082" w:rsidRPr="00D35FB6">
        <w:rPr>
          <w:rFonts w:asciiTheme="majorHAnsi" w:hAnsiTheme="majorHAnsi" w:cstheme="majorHAnsi"/>
          <w:sz w:val="24"/>
          <w:szCs w:val="24"/>
        </w:rPr>
        <w:t>олее важным параметром является маржа от эксплуатации данного</w:t>
      </w:r>
      <w:r w:rsidR="0094704B" w:rsidRPr="00D35FB6">
        <w:rPr>
          <w:rFonts w:asciiTheme="majorHAnsi" w:hAnsiTheme="majorHAnsi" w:cstheme="majorHAnsi"/>
          <w:sz w:val="24"/>
          <w:szCs w:val="24"/>
        </w:rPr>
        <w:t xml:space="preserve"> транспортного средства</w:t>
      </w:r>
      <w:r w:rsidR="00344082" w:rsidRPr="00D35FB6">
        <w:rPr>
          <w:rFonts w:asciiTheme="majorHAnsi" w:hAnsiTheme="majorHAnsi" w:cstheme="majorHAnsi"/>
          <w:sz w:val="24"/>
          <w:szCs w:val="24"/>
        </w:rPr>
        <w:t>. Поэтому говорить о том, что при снижении ключевой ставки мы заметим положительную динамику в количестве продаж, я бы не стал.</w:t>
      </w:r>
    </w:p>
    <w:p w14:paraId="44FC3B5A" w14:textId="77777777" w:rsidR="00344082" w:rsidRPr="00D35FB6" w:rsidRDefault="00344082" w:rsidP="004036DF">
      <w:pPr>
        <w:spacing w:before="240" w:line="240" w:lineRule="auto"/>
        <w:jc w:val="both"/>
        <w:rPr>
          <w:rFonts w:asciiTheme="majorHAnsi" w:hAnsiTheme="majorHAnsi" w:cstheme="majorHAnsi"/>
          <w:sz w:val="24"/>
          <w:szCs w:val="24"/>
        </w:rPr>
      </w:pPr>
      <w:r w:rsidRPr="00D35FB6">
        <w:rPr>
          <w:rFonts w:asciiTheme="majorHAnsi" w:hAnsiTheme="majorHAnsi" w:cstheme="majorHAnsi"/>
          <w:sz w:val="24"/>
          <w:szCs w:val="24"/>
        </w:rPr>
        <w:t>Мне кажется, что динамика продаж вне зависимости от размера ключевой ставки покажет положительный тренд в случае существенного роста рынка перевозок либо иных сфер, в которых эксплуатируется грузовой автотранспорт. Среди них немаловажное значение имеют крупные инфраструктурные проекты.</w:t>
      </w:r>
    </w:p>
    <w:p w14:paraId="5CBB9AA5" w14:textId="11360DBA" w:rsidR="004A07BC" w:rsidRPr="00D35FB6" w:rsidRDefault="00344082" w:rsidP="004036DF">
      <w:pPr>
        <w:spacing w:before="240" w:line="240" w:lineRule="auto"/>
        <w:jc w:val="both"/>
        <w:rPr>
          <w:rFonts w:asciiTheme="majorHAnsi" w:hAnsiTheme="majorHAnsi" w:cstheme="majorHAnsi"/>
          <w:sz w:val="24"/>
          <w:szCs w:val="24"/>
        </w:rPr>
      </w:pPr>
      <w:r w:rsidRPr="00D35FB6">
        <w:rPr>
          <w:rFonts w:asciiTheme="majorHAnsi" w:hAnsiTheme="majorHAnsi" w:cstheme="majorHAnsi"/>
          <w:sz w:val="24"/>
          <w:szCs w:val="24"/>
        </w:rPr>
        <w:t xml:space="preserve">Для роста продаж и, как следствие, роста количества лизинговых контрактов на приобретение новой грузовой техники необходимо существенное изменение экономической ситуации, которое повлияет на количество запросов на оказание транспортных услуг с использованием данной категории </w:t>
      </w:r>
      <w:r w:rsidR="009D4D7D" w:rsidRPr="00D35FB6">
        <w:rPr>
          <w:rFonts w:asciiTheme="majorHAnsi" w:hAnsiTheme="majorHAnsi" w:cstheme="majorHAnsi"/>
          <w:sz w:val="24"/>
          <w:szCs w:val="24"/>
        </w:rPr>
        <w:t>транспортных средств</w:t>
      </w:r>
      <w:r w:rsidRPr="00D35FB6">
        <w:rPr>
          <w:rFonts w:asciiTheme="majorHAnsi" w:hAnsiTheme="majorHAnsi" w:cstheme="majorHAnsi"/>
          <w:sz w:val="24"/>
          <w:szCs w:val="24"/>
        </w:rPr>
        <w:t>.</w:t>
      </w:r>
    </w:p>
    <w:p w14:paraId="53D2FB01" w14:textId="77777777" w:rsidR="006D4822" w:rsidRPr="00D35FB6" w:rsidRDefault="006D4822" w:rsidP="004036DF">
      <w:pPr>
        <w:spacing w:before="240" w:line="240" w:lineRule="auto"/>
        <w:jc w:val="both"/>
        <w:rPr>
          <w:rFonts w:asciiTheme="majorHAnsi" w:hAnsiTheme="majorHAnsi" w:cstheme="majorHAnsi"/>
          <w:b/>
          <w:sz w:val="24"/>
          <w:szCs w:val="24"/>
        </w:rPr>
      </w:pPr>
      <w:r w:rsidRPr="00D35FB6">
        <w:rPr>
          <w:rFonts w:asciiTheme="majorHAnsi" w:hAnsiTheme="majorHAnsi" w:cstheme="majorHAnsi"/>
          <w:b/>
          <w:sz w:val="24"/>
          <w:szCs w:val="24"/>
        </w:rPr>
        <w:t>– Какова ситуация с изъятой техникой?</w:t>
      </w:r>
    </w:p>
    <w:p w14:paraId="5FF444C8" w14:textId="77777777" w:rsidR="006D4822" w:rsidRPr="00D35FB6" w:rsidRDefault="006D4822" w:rsidP="004036DF">
      <w:pPr>
        <w:spacing w:before="240" w:line="240" w:lineRule="auto"/>
        <w:jc w:val="both"/>
        <w:rPr>
          <w:rFonts w:asciiTheme="majorHAnsi" w:hAnsiTheme="majorHAnsi" w:cstheme="majorHAnsi"/>
          <w:sz w:val="24"/>
          <w:szCs w:val="24"/>
        </w:rPr>
      </w:pPr>
      <w:r w:rsidRPr="00D35FB6">
        <w:rPr>
          <w:rFonts w:asciiTheme="majorHAnsi" w:hAnsiTheme="majorHAnsi" w:cstheme="majorHAnsi"/>
          <w:sz w:val="24"/>
          <w:szCs w:val="24"/>
        </w:rPr>
        <w:t>– С изъятой техникой все неоднозначно. В начале ранее обозначенных событий мы столкнулись с тем, что рынок изъятой грузовой техники фактически обвалился как с точки зрения продавца, так и с точки зрения покупателя. Сейчас вторичный рынок стабилизировался. Мы фиксируем незначительные, но системные положительные тренды и наблюдаем рост интереса к рынку подержанных грузовых ТС.</w:t>
      </w:r>
    </w:p>
    <w:p w14:paraId="38FF8A51" w14:textId="20A8A968" w:rsidR="006D4822" w:rsidRPr="00D35FB6" w:rsidRDefault="006D4822" w:rsidP="004036DF">
      <w:pPr>
        <w:spacing w:before="240" w:line="240" w:lineRule="auto"/>
        <w:jc w:val="both"/>
        <w:rPr>
          <w:rFonts w:asciiTheme="majorHAnsi" w:hAnsiTheme="majorHAnsi" w:cstheme="majorHAnsi"/>
          <w:color w:val="0070C0"/>
          <w:sz w:val="24"/>
          <w:szCs w:val="24"/>
        </w:rPr>
      </w:pPr>
      <w:r w:rsidRPr="00D35FB6">
        <w:rPr>
          <w:rFonts w:asciiTheme="majorHAnsi" w:hAnsiTheme="majorHAnsi" w:cstheme="majorHAnsi"/>
          <w:sz w:val="24"/>
          <w:szCs w:val="24"/>
        </w:rPr>
        <w:t xml:space="preserve">Текущей стагнации рынка предшествовал период бурного роста, который был обусловлен интересом клиентов к новому продукту, ведь большинство </w:t>
      </w:r>
      <w:r w:rsidR="000010E4" w:rsidRPr="00D35FB6">
        <w:rPr>
          <w:rFonts w:asciiTheme="majorHAnsi" w:hAnsiTheme="majorHAnsi" w:cstheme="majorHAnsi"/>
          <w:sz w:val="24"/>
          <w:szCs w:val="24"/>
        </w:rPr>
        <w:t xml:space="preserve">вышедших на рынок </w:t>
      </w:r>
      <w:r w:rsidRPr="00D35FB6">
        <w:rPr>
          <w:rFonts w:asciiTheme="majorHAnsi" w:hAnsiTheme="majorHAnsi" w:cstheme="majorHAnsi"/>
          <w:sz w:val="24"/>
          <w:szCs w:val="24"/>
        </w:rPr>
        <w:t>автомобилей ранее были для нас неизвестны. Период стремительного роста продаж сменился периодом активного возврата лизингополучателями техники в лизинговые компании, что усугубилось отрицательным трендом на рынке финансовых услуг.</w:t>
      </w:r>
    </w:p>
    <w:p w14:paraId="408062BB" w14:textId="35410DFA" w:rsidR="00AB1A63" w:rsidRPr="00D35FB6" w:rsidRDefault="006D4822" w:rsidP="004036DF">
      <w:pPr>
        <w:spacing w:before="240" w:line="240" w:lineRule="auto"/>
        <w:jc w:val="both"/>
        <w:rPr>
          <w:rFonts w:asciiTheme="majorHAnsi" w:hAnsiTheme="majorHAnsi" w:cstheme="majorHAnsi"/>
          <w:sz w:val="24"/>
          <w:szCs w:val="24"/>
        </w:rPr>
      </w:pPr>
      <w:r w:rsidRPr="00D35FB6">
        <w:rPr>
          <w:rFonts w:asciiTheme="majorHAnsi" w:hAnsiTheme="majorHAnsi" w:cstheme="majorHAnsi"/>
          <w:sz w:val="24"/>
          <w:szCs w:val="24"/>
        </w:rPr>
        <w:t xml:space="preserve">Я бы назвал настоящее время «идеальным штормом», который характеризуется дошедшими до нас волнами изъятий вследствие ранее высокого объема продаж и неизменно следующей за волной низкой текущей деловой активностью. Поэтому среди лизинговых компаний практически все игроки показали по итогам года отрицательный финансовый результат. </w:t>
      </w:r>
      <w:r w:rsidR="00AB1A63" w:rsidRPr="00D35FB6">
        <w:rPr>
          <w:rFonts w:asciiTheme="majorHAnsi" w:hAnsiTheme="majorHAnsi" w:cstheme="majorHAnsi"/>
          <w:sz w:val="24"/>
          <w:szCs w:val="24"/>
        </w:rPr>
        <w:t xml:space="preserve">Мы крайне осторожно относились к финансированию неизвестного для нас рынка грузовых автомобилей, пришедших с Востока, и, как следствие, имеем умеренный объем изъятий. </w:t>
      </w:r>
    </w:p>
    <w:p w14:paraId="07D6696B" w14:textId="77777777" w:rsidR="000B2601" w:rsidRPr="00D35FB6" w:rsidRDefault="000B2601" w:rsidP="004036DF">
      <w:pPr>
        <w:shd w:val="clear" w:color="auto" w:fill="FBE4D5" w:themeFill="accent2" w:themeFillTint="33"/>
        <w:spacing w:before="240" w:line="240" w:lineRule="auto"/>
        <w:jc w:val="both"/>
        <w:rPr>
          <w:rFonts w:asciiTheme="majorHAnsi" w:hAnsiTheme="majorHAnsi" w:cstheme="majorHAnsi"/>
          <w:bCs/>
          <w:sz w:val="24"/>
          <w:szCs w:val="24"/>
        </w:rPr>
      </w:pPr>
      <w:r w:rsidRPr="00D35FB6">
        <w:rPr>
          <w:rFonts w:asciiTheme="majorHAnsi" w:hAnsiTheme="majorHAnsi" w:cstheme="majorHAnsi"/>
          <w:bCs/>
          <w:sz w:val="24"/>
          <w:szCs w:val="24"/>
        </w:rPr>
        <w:t xml:space="preserve">НАПИ: </w:t>
      </w:r>
    </w:p>
    <w:p w14:paraId="08CCBBDC" w14:textId="6D16E819" w:rsidR="00F822EF" w:rsidRPr="00D35FB6" w:rsidRDefault="00A87FD8" w:rsidP="004036DF">
      <w:pPr>
        <w:shd w:val="clear" w:color="auto" w:fill="FBE4D5" w:themeFill="accent2" w:themeFillTint="33"/>
        <w:spacing w:before="240" w:line="240" w:lineRule="auto"/>
        <w:jc w:val="both"/>
        <w:rPr>
          <w:rFonts w:asciiTheme="majorHAnsi" w:hAnsiTheme="majorHAnsi" w:cstheme="majorHAnsi"/>
          <w:bCs/>
          <w:sz w:val="24"/>
          <w:szCs w:val="24"/>
        </w:rPr>
      </w:pPr>
      <w:r w:rsidRPr="00D35FB6">
        <w:rPr>
          <w:rFonts w:asciiTheme="majorHAnsi" w:hAnsiTheme="majorHAnsi" w:cstheme="majorHAnsi"/>
          <w:bCs/>
          <w:sz w:val="24"/>
          <w:szCs w:val="24"/>
        </w:rPr>
        <w:t xml:space="preserve">В </w:t>
      </w:r>
      <w:r w:rsidR="00F822EF" w:rsidRPr="00D35FB6">
        <w:rPr>
          <w:rFonts w:asciiTheme="majorHAnsi" w:hAnsiTheme="majorHAnsi" w:cstheme="majorHAnsi"/>
          <w:bCs/>
          <w:sz w:val="24"/>
          <w:szCs w:val="24"/>
        </w:rPr>
        <w:t>январе-</w:t>
      </w:r>
      <w:r w:rsidRPr="00D35FB6">
        <w:rPr>
          <w:rFonts w:asciiTheme="majorHAnsi" w:hAnsiTheme="majorHAnsi" w:cstheme="majorHAnsi"/>
          <w:bCs/>
          <w:sz w:val="24"/>
          <w:szCs w:val="24"/>
        </w:rPr>
        <w:t>мае 2026 года по финансовой емкости</w:t>
      </w:r>
      <w:r w:rsidR="00DD3D2F" w:rsidRPr="00D35FB6">
        <w:rPr>
          <w:rFonts w:asciiTheme="majorHAnsi" w:hAnsiTheme="majorHAnsi" w:cstheme="majorHAnsi"/>
          <w:bCs/>
          <w:sz w:val="24"/>
          <w:szCs w:val="24"/>
        </w:rPr>
        <w:t xml:space="preserve"> рынка грузовиков</w:t>
      </w:r>
      <w:r w:rsidRPr="00D35FB6">
        <w:rPr>
          <w:rFonts w:asciiTheme="majorHAnsi" w:hAnsiTheme="majorHAnsi" w:cstheme="majorHAnsi"/>
          <w:bCs/>
          <w:sz w:val="24"/>
          <w:szCs w:val="24"/>
        </w:rPr>
        <w:t xml:space="preserve"> лидировали</w:t>
      </w:r>
      <w:r w:rsidR="00DD3D2F" w:rsidRPr="00D35FB6">
        <w:rPr>
          <w:rFonts w:asciiTheme="majorHAnsi" w:hAnsiTheme="majorHAnsi" w:cstheme="majorHAnsi"/>
          <w:bCs/>
          <w:sz w:val="24"/>
          <w:szCs w:val="24"/>
        </w:rPr>
        <w:t xml:space="preserve"> марки</w:t>
      </w:r>
      <w:r w:rsidRPr="00D35FB6">
        <w:rPr>
          <w:rFonts w:asciiTheme="majorHAnsi" w:hAnsiTheme="majorHAnsi" w:cstheme="majorHAnsi"/>
          <w:bCs/>
          <w:sz w:val="24"/>
          <w:szCs w:val="24"/>
        </w:rPr>
        <w:t xml:space="preserve"> KAMAZ</w:t>
      </w:r>
      <w:r w:rsidR="00F822EF" w:rsidRPr="00D35FB6">
        <w:rPr>
          <w:rFonts w:asciiTheme="majorHAnsi" w:hAnsiTheme="majorHAnsi" w:cstheme="majorHAnsi"/>
          <w:bCs/>
          <w:sz w:val="24"/>
          <w:szCs w:val="24"/>
        </w:rPr>
        <w:t xml:space="preserve">, FAW, </w:t>
      </w:r>
      <w:r w:rsidR="001907D5" w:rsidRPr="00D35FB6">
        <w:rPr>
          <w:rFonts w:asciiTheme="majorHAnsi" w:hAnsiTheme="majorHAnsi" w:cstheme="majorHAnsi"/>
          <w:bCs/>
          <w:sz w:val="24"/>
          <w:szCs w:val="24"/>
        </w:rPr>
        <w:t>SITRAK</w:t>
      </w:r>
      <w:r w:rsidR="00F822EF" w:rsidRPr="00D35FB6">
        <w:rPr>
          <w:rFonts w:asciiTheme="majorHAnsi" w:hAnsiTheme="majorHAnsi" w:cstheme="majorHAnsi"/>
          <w:bCs/>
          <w:sz w:val="24"/>
          <w:szCs w:val="24"/>
        </w:rPr>
        <w:t>,</w:t>
      </w:r>
      <w:r w:rsidR="001907D5" w:rsidRPr="00D35FB6">
        <w:rPr>
          <w:rFonts w:asciiTheme="majorHAnsi" w:hAnsiTheme="majorHAnsi" w:cstheme="majorHAnsi"/>
          <w:bCs/>
          <w:sz w:val="24"/>
          <w:szCs w:val="24"/>
        </w:rPr>
        <w:t xml:space="preserve"> URAL, DONGFENG</w:t>
      </w:r>
      <w:r w:rsidR="00A44CB8" w:rsidRPr="00D35FB6">
        <w:rPr>
          <w:rFonts w:asciiTheme="majorHAnsi" w:hAnsiTheme="majorHAnsi" w:cstheme="majorHAnsi"/>
          <w:bCs/>
          <w:sz w:val="24"/>
          <w:szCs w:val="24"/>
        </w:rPr>
        <w:t>.</w:t>
      </w:r>
    </w:p>
    <w:p w14:paraId="65154272" w14:textId="07BF8DE6" w:rsidR="00F822EF" w:rsidRPr="00D35FB6" w:rsidRDefault="00BE045E" w:rsidP="00D35FB6">
      <w:pPr>
        <w:spacing w:line="240" w:lineRule="auto"/>
        <w:jc w:val="center"/>
        <w:rPr>
          <w:rFonts w:asciiTheme="majorHAnsi" w:hAnsiTheme="majorHAnsi" w:cstheme="majorHAnsi"/>
          <w:b/>
          <w:sz w:val="24"/>
          <w:szCs w:val="24"/>
        </w:rPr>
      </w:pPr>
      <w:r w:rsidRPr="00D35FB6">
        <w:rPr>
          <w:rFonts w:asciiTheme="majorHAnsi" w:hAnsiTheme="majorHAnsi" w:cstheme="majorHAnsi"/>
          <w:b/>
          <w:sz w:val="24"/>
          <w:szCs w:val="24"/>
        </w:rPr>
        <w:t>ТОП-5 марок по финансовой емкости в январе-мае 2026 г</w:t>
      </w:r>
    </w:p>
    <w:tbl>
      <w:tblPr>
        <w:tblW w:w="5000" w:type="pct"/>
        <w:tblCellMar>
          <w:left w:w="0" w:type="dxa"/>
          <w:right w:w="0" w:type="dxa"/>
        </w:tblCellMar>
        <w:tblLook w:val="0600" w:firstRow="0" w:lastRow="0" w:firstColumn="0" w:lastColumn="0" w:noHBand="1" w:noVBand="1"/>
      </w:tblPr>
      <w:tblGrid>
        <w:gridCol w:w="2543"/>
        <w:gridCol w:w="2268"/>
        <w:gridCol w:w="2160"/>
        <w:gridCol w:w="2364"/>
      </w:tblGrid>
      <w:tr w:rsidR="00F822EF" w:rsidRPr="00D35FB6" w14:paraId="3EDEB06D" w14:textId="77777777" w:rsidTr="00700B24">
        <w:trPr>
          <w:trHeight w:val="423"/>
        </w:trPr>
        <w:tc>
          <w:tcPr>
            <w:tcW w:w="1362" w:type="pct"/>
            <w:vMerge w:val="restart"/>
            <w:tcBorders>
              <w:top w:val="single" w:sz="8" w:space="0" w:color="ED7D31"/>
              <w:left w:val="single" w:sz="8" w:space="0" w:color="ED7D31"/>
              <w:bottom w:val="single" w:sz="8" w:space="0" w:color="ED7D31"/>
              <w:right w:val="single" w:sz="8" w:space="0" w:color="ED7D31"/>
            </w:tcBorders>
            <w:shd w:val="clear" w:color="auto" w:fill="F7CAAC" w:themeFill="accent2" w:themeFillTint="66"/>
            <w:tcMar>
              <w:top w:w="9" w:type="dxa"/>
              <w:left w:w="9" w:type="dxa"/>
              <w:bottom w:w="0" w:type="dxa"/>
              <w:right w:w="9" w:type="dxa"/>
            </w:tcMar>
            <w:vAlign w:val="center"/>
            <w:hideMark/>
          </w:tcPr>
          <w:p w14:paraId="219504A0" w14:textId="2F3A9D5D" w:rsidR="00F822EF" w:rsidRPr="00D35FB6" w:rsidRDefault="00445CF9" w:rsidP="00D35FB6">
            <w:pPr>
              <w:spacing w:line="240" w:lineRule="auto"/>
              <w:ind w:left="57"/>
              <w:rPr>
                <w:rFonts w:asciiTheme="majorHAnsi" w:hAnsiTheme="majorHAnsi" w:cstheme="majorHAnsi"/>
                <w:bCs/>
                <w:sz w:val="18"/>
                <w:szCs w:val="24"/>
              </w:rPr>
            </w:pPr>
            <w:r w:rsidRPr="00D35FB6">
              <w:rPr>
                <w:rFonts w:asciiTheme="majorHAnsi" w:hAnsiTheme="majorHAnsi" w:cstheme="majorHAnsi"/>
                <w:bCs/>
                <w:sz w:val="18"/>
                <w:szCs w:val="24"/>
              </w:rPr>
              <w:t>Марка</w:t>
            </w:r>
          </w:p>
        </w:tc>
        <w:tc>
          <w:tcPr>
            <w:tcW w:w="2372" w:type="pct"/>
            <w:gridSpan w:val="2"/>
            <w:tcBorders>
              <w:top w:val="single" w:sz="8" w:space="0" w:color="ED7D31"/>
              <w:left w:val="single" w:sz="8" w:space="0" w:color="ED7D31"/>
              <w:bottom w:val="single" w:sz="8" w:space="0" w:color="ED7D31"/>
              <w:right w:val="single" w:sz="8" w:space="0" w:color="ED7D31"/>
            </w:tcBorders>
            <w:shd w:val="clear" w:color="auto" w:fill="F7CAAC" w:themeFill="accent2" w:themeFillTint="66"/>
            <w:tcMar>
              <w:top w:w="9" w:type="dxa"/>
              <w:left w:w="9" w:type="dxa"/>
              <w:bottom w:w="0" w:type="dxa"/>
              <w:right w:w="9" w:type="dxa"/>
            </w:tcMar>
            <w:vAlign w:val="center"/>
            <w:hideMark/>
          </w:tcPr>
          <w:p w14:paraId="76C75F5C" w14:textId="77777777" w:rsidR="00F822EF" w:rsidRPr="00D35FB6" w:rsidRDefault="00F822EF" w:rsidP="00D35FB6">
            <w:pPr>
              <w:spacing w:line="240" w:lineRule="auto"/>
              <w:jc w:val="center"/>
              <w:rPr>
                <w:rFonts w:asciiTheme="majorHAnsi" w:hAnsiTheme="majorHAnsi" w:cstheme="majorHAnsi"/>
                <w:bCs/>
                <w:sz w:val="18"/>
                <w:szCs w:val="24"/>
              </w:rPr>
            </w:pPr>
            <w:r w:rsidRPr="00D35FB6">
              <w:rPr>
                <w:rFonts w:asciiTheme="majorHAnsi" w:hAnsiTheme="majorHAnsi" w:cstheme="majorHAnsi"/>
                <w:bCs/>
                <w:sz w:val="18"/>
                <w:szCs w:val="24"/>
              </w:rPr>
              <w:t>Финансовая емкость, млрд руб.</w:t>
            </w:r>
          </w:p>
        </w:tc>
        <w:tc>
          <w:tcPr>
            <w:tcW w:w="1266" w:type="pct"/>
            <w:tcBorders>
              <w:top w:val="single" w:sz="8" w:space="0" w:color="ED7D31"/>
              <w:left w:val="single" w:sz="8" w:space="0" w:color="ED7D31"/>
              <w:bottom w:val="single" w:sz="8" w:space="0" w:color="ED7D31"/>
              <w:right w:val="single" w:sz="8" w:space="0" w:color="ED7D31"/>
            </w:tcBorders>
            <w:shd w:val="clear" w:color="auto" w:fill="F7CAAC" w:themeFill="accent2" w:themeFillTint="66"/>
            <w:tcMar>
              <w:top w:w="9" w:type="dxa"/>
              <w:left w:w="9" w:type="dxa"/>
              <w:bottom w:w="0" w:type="dxa"/>
              <w:right w:w="9" w:type="dxa"/>
            </w:tcMar>
            <w:vAlign w:val="center"/>
            <w:hideMark/>
          </w:tcPr>
          <w:p w14:paraId="59A2352C" w14:textId="718D8B55" w:rsidR="00F822EF" w:rsidRPr="00D35FB6" w:rsidRDefault="00700B24" w:rsidP="00D35FB6">
            <w:pPr>
              <w:spacing w:line="240" w:lineRule="auto"/>
              <w:jc w:val="center"/>
              <w:rPr>
                <w:rFonts w:asciiTheme="majorHAnsi" w:hAnsiTheme="majorHAnsi" w:cstheme="majorHAnsi"/>
                <w:bCs/>
                <w:sz w:val="18"/>
                <w:szCs w:val="24"/>
              </w:rPr>
            </w:pPr>
            <w:r w:rsidRPr="00D35FB6">
              <w:rPr>
                <w:rFonts w:asciiTheme="majorHAnsi" w:hAnsiTheme="majorHAnsi" w:cstheme="majorHAnsi"/>
                <w:bCs/>
                <w:sz w:val="18"/>
                <w:szCs w:val="24"/>
              </w:rPr>
              <w:t>Динамика, %</w:t>
            </w:r>
          </w:p>
        </w:tc>
      </w:tr>
      <w:tr w:rsidR="00F822EF" w:rsidRPr="00D35FB6" w14:paraId="4A88ABEE" w14:textId="77777777" w:rsidTr="00445CF9">
        <w:trPr>
          <w:trHeight w:val="135"/>
        </w:trPr>
        <w:tc>
          <w:tcPr>
            <w:tcW w:w="1362" w:type="pct"/>
            <w:vMerge/>
            <w:tcBorders>
              <w:top w:val="single" w:sz="8" w:space="0" w:color="ED7D31"/>
              <w:left w:val="single" w:sz="8" w:space="0" w:color="ED7D31"/>
              <w:bottom w:val="single" w:sz="8" w:space="0" w:color="ED7D31"/>
              <w:right w:val="single" w:sz="8" w:space="0" w:color="ED7D31"/>
            </w:tcBorders>
            <w:vAlign w:val="center"/>
            <w:hideMark/>
          </w:tcPr>
          <w:p w14:paraId="00231E78" w14:textId="77777777" w:rsidR="00F822EF" w:rsidRPr="00D35FB6" w:rsidRDefault="00F822EF" w:rsidP="00D35FB6">
            <w:pPr>
              <w:spacing w:line="240" w:lineRule="auto"/>
              <w:rPr>
                <w:rFonts w:asciiTheme="majorHAnsi" w:hAnsiTheme="majorHAnsi" w:cstheme="majorHAnsi"/>
                <w:bCs/>
                <w:sz w:val="18"/>
                <w:szCs w:val="24"/>
              </w:rPr>
            </w:pPr>
          </w:p>
        </w:tc>
        <w:tc>
          <w:tcPr>
            <w:tcW w:w="1215" w:type="pct"/>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045B1072" w14:textId="77777777" w:rsidR="00F822EF" w:rsidRPr="00D35FB6" w:rsidRDefault="00F822EF" w:rsidP="00D35FB6">
            <w:pPr>
              <w:spacing w:line="240" w:lineRule="auto"/>
              <w:jc w:val="center"/>
              <w:rPr>
                <w:rFonts w:asciiTheme="majorHAnsi" w:hAnsiTheme="majorHAnsi" w:cstheme="majorHAnsi"/>
                <w:bCs/>
                <w:sz w:val="18"/>
                <w:szCs w:val="24"/>
              </w:rPr>
            </w:pPr>
            <w:r w:rsidRPr="00D35FB6">
              <w:rPr>
                <w:rFonts w:asciiTheme="majorHAnsi" w:hAnsiTheme="majorHAnsi" w:cstheme="majorHAnsi"/>
                <w:bCs/>
                <w:sz w:val="18"/>
                <w:szCs w:val="24"/>
              </w:rPr>
              <w:t>2025 (01-05)</w:t>
            </w:r>
          </w:p>
        </w:tc>
        <w:tc>
          <w:tcPr>
            <w:tcW w:w="1157" w:type="pct"/>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34928C87" w14:textId="77777777" w:rsidR="00F822EF" w:rsidRPr="00D35FB6" w:rsidRDefault="00F822EF" w:rsidP="00D35FB6">
            <w:pPr>
              <w:spacing w:line="240" w:lineRule="auto"/>
              <w:jc w:val="center"/>
              <w:rPr>
                <w:rFonts w:asciiTheme="majorHAnsi" w:hAnsiTheme="majorHAnsi" w:cstheme="majorHAnsi"/>
                <w:bCs/>
                <w:sz w:val="18"/>
                <w:szCs w:val="24"/>
              </w:rPr>
            </w:pPr>
            <w:r w:rsidRPr="00D35FB6">
              <w:rPr>
                <w:rFonts w:asciiTheme="majorHAnsi" w:hAnsiTheme="majorHAnsi" w:cstheme="majorHAnsi"/>
                <w:bCs/>
                <w:sz w:val="18"/>
                <w:szCs w:val="24"/>
              </w:rPr>
              <w:t>2026 (01-05)</w:t>
            </w:r>
          </w:p>
        </w:tc>
        <w:tc>
          <w:tcPr>
            <w:tcW w:w="1266" w:type="pct"/>
            <w:tcBorders>
              <w:top w:val="single" w:sz="8" w:space="0" w:color="ED7D31"/>
              <w:left w:val="single" w:sz="8" w:space="0" w:color="ED7D31"/>
              <w:bottom w:val="single" w:sz="8" w:space="0" w:color="ED7D31"/>
              <w:right w:val="single" w:sz="8" w:space="0" w:color="ED7D31"/>
            </w:tcBorders>
            <w:shd w:val="clear" w:color="auto" w:fill="FCECE8"/>
            <w:tcMar>
              <w:top w:w="8" w:type="dxa"/>
              <w:left w:w="74" w:type="dxa"/>
              <w:bottom w:w="0" w:type="dxa"/>
              <w:right w:w="8" w:type="dxa"/>
            </w:tcMar>
            <w:vAlign w:val="center"/>
            <w:hideMark/>
          </w:tcPr>
          <w:p w14:paraId="7525E9D6" w14:textId="77777777" w:rsidR="00F822EF" w:rsidRPr="00D35FB6" w:rsidRDefault="00F822EF" w:rsidP="00D35FB6">
            <w:pPr>
              <w:spacing w:line="240" w:lineRule="auto"/>
              <w:jc w:val="center"/>
              <w:rPr>
                <w:rFonts w:asciiTheme="majorHAnsi" w:hAnsiTheme="majorHAnsi" w:cstheme="majorHAnsi"/>
                <w:bCs/>
                <w:sz w:val="18"/>
                <w:szCs w:val="24"/>
              </w:rPr>
            </w:pPr>
            <w:r w:rsidRPr="00D35FB6">
              <w:rPr>
                <w:rFonts w:asciiTheme="majorHAnsi" w:hAnsiTheme="majorHAnsi" w:cstheme="majorHAnsi"/>
                <w:bCs/>
                <w:sz w:val="18"/>
                <w:szCs w:val="24"/>
              </w:rPr>
              <w:t>2026/2025</w:t>
            </w:r>
          </w:p>
        </w:tc>
      </w:tr>
      <w:tr w:rsidR="00F822EF" w:rsidRPr="00D35FB6" w14:paraId="5D257448" w14:textId="77777777" w:rsidTr="00445CF9">
        <w:trPr>
          <w:trHeight w:val="106"/>
        </w:trPr>
        <w:tc>
          <w:tcPr>
            <w:tcW w:w="1362" w:type="pct"/>
            <w:tcBorders>
              <w:top w:val="single" w:sz="8" w:space="0" w:color="ED7D31"/>
              <w:left w:val="single" w:sz="8" w:space="0" w:color="ED7D31"/>
              <w:bottom w:val="single" w:sz="8" w:space="0" w:color="ED7D31"/>
              <w:right w:val="single" w:sz="8" w:space="0" w:color="ED7D31"/>
            </w:tcBorders>
            <w:shd w:val="clear" w:color="auto" w:fill="auto"/>
            <w:tcMar>
              <w:top w:w="9" w:type="dxa"/>
              <w:left w:w="84" w:type="dxa"/>
              <w:bottom w:w="0" w:type="dxa"/>
              <w:right w:w="9" w:type="dxa"/>
            </w:tcMar>
            <w:vAlign w:val="center"/>
            <w:hideMark/>
          </w:tcPr>
          <w:p w14:paraId="7838A698" w14:textId="753EFEA1" w:rsidR="00F822EF" w:rsidRPr="00D35FB6" w:rsidRDefault="00F822EF" w:rsidP="00D35FB6">
            <w:pPr>
              <w:spacing w:line="240" w:lineRule="auto"/>
              <w:rPr>
                <w:rFonts w:asciiTheme="majorHAnsi" w:hAnsiTheme="majorHAnsi" w:cstheme="majorHAnsi"/>
                <w:bCs/>
                <w:sz w:val="18"/>
                <w:szCs w:val="24"/>
              </w:rPr>
            </w:pPr>
            <w:r w:rsidRPr="00D35FB6">
              <w:rPr>
                <w:rFonts w:asciiTheme="majorHAnsi" w:hAnsiTheme="majorHAnsi" w:cstheme="majorHAnsi"/>
                <w:bCs/>
                <w:sz w:val="18"/>
                <w:szCs w:val="24"/>
              </w:rPr>
              <w:t>KAMAZ</w:t>
            </w:r>
          </w:p>
        </w:tc>
        <w:tc>
          <w:tcPr>
            <w:tcW w:w="1215"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23F89427" w14:textId="3C781C2F"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73,5</w:t>
            </w:r>
          </w:p>
        </w:tc>
        <w:tc>
          <w:tcPr>
            <w:tcW w:w="1157"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12586F44" w14:textId="23BAA035"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69,9</w:t>
            </w:r>
          </w:p>
        </w:tc>
        <w:tc>
          <w:tcPr>
            <w:tcW w:w="1266" w:type="pct"/>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65B14809" w14:textId="47A65B0F"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-5,0%</w:t>
            </w:r>
          </w:p>
        </w:tc>
      </w:tr>
      <w:tr w:rsidR="00F822EF" w:rsidRPr="00D35FB6" w14:paraId="6EFDA923" w14:textId="77777777" w:rsidTr="00445CF9">
        <w:trPr>
          <w:trHeight w:val="126"/>
        </w:trPr>
        <w:tc>
          <w:tcPr>
            <w:tcW w:w="1362" w:type="pct"/>
            <w:tcBorders>
              <w:top w:val="single" w:sz="8" w:space="0" w:color="ED7D31"/>
              <w:left w:val="single" w:sz="8" w:space="0" w:color="ED7D31"/>
              <w:bottom w:val="single" w:sz="8" w:space="0" w:color="ED7D31"/>
              <w:right w:val="single" w:sz="8" w:space="0" w:color="ED7D31"/>
            </w:tcBorders>
            <w:shd w:val="clear" w:color="auto" w:fill="auto"/>
            <w:tcMar>
              <w:top w:w="9" w:type="dxa"/>
              <w:left w:w="84" w:type="dxa"/>
              <w:bottom w:w="0" w:type="dxa"/>
              <w:right w:w="9" w:type="dxa"/>
            </w:tcMar>
            <w:vAlign w:val="center"/>
            <w:hideMark/>
          </w:tcPr>
          <w:p w14:paraId="00EAE765" w14:textId="6671CE96" w:rsidR="00F822EF" w:rsidRPr="00D35FB6" w:rsidRDefault="00F822EF" w:rsidP="00D35FB6">
            <w:pPr>
              <w:spacing w:line="240" w:lineRule="auto"/>
              <w:rPr>
                <w:rFonts w:asciiTheme="majorHAnsi" w:hAnsiTheme="majorHAnsi" w:cstheme="majorHAnsi"/>
                <w:bCs/>
                <w:sz w:val="18"/>
                <w:szCs w:val="24"/>
              </w:rPr>
            </w:pPr>
            <w:r w:rsidRPr="00D35FB6">
              <w:rPr>
                <w:rFonts w:asciiTheme="majorHAnsi" w:hAnsiTheme="majorHAnsi" w:cstheme="majorHAnsi"/>
                <w:bCs/>
                <w:sz w:val="18"/>
                <w:szCs w:val="24"/>
              </w:rPr>
              <w:t>FAW</w:t>
            </w:r>
          </w:p>
        </w:tc>
        <w:tc>
          <w:tcPr>
            <w:tcW w:w="1215"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76796E73" w14:textId="7CF8EF2D"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17,7</w:t>
            </w:r>
          </w:p>
        </w:tc>
        <w:tc>
          <w:tcPr>
            <w:tcW w:w="1157"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2B8F1DFA" w14:textId="3793EC83"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16,9</w:t>
            </w:r>
          </w:p>
        </w:tc>
        <w:tc>
          <w:tcPr>
            <w:tcW w:w="1266" w:type="pct"/>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2C7DBE63" w14:textId="6D3C91EA"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-4,3%</w:t>
            </w:r>
          </w:p>
        </w:tc>
      </w:tr>
      <w:tr w:rsidR="00F822EF" w:rsidRPr="00D35FB6" w14:paraId="07588EB0" w14:textId="77777777" w:rsidTr="00445CF9">
        <w:trPr>
          <w:trHeight w:val="76"/>
        </w:trPr>
        <w:tc>
          <w:tcPr>
            <w:tcW w:w="1362" w:type="pct"/>
            <w:tcBorders>
              <w:top w:val="single" w:sz="8" w:space="0" w:color="ED7D31"/>
              <w:left w:val="single" w:sz="8" w:space="0" w:color="ED7D31"/>
              <w:bottom w:val="single" w:sz="8" w:space="0" w:color="ED7D31"/>
              <w:right w:val="single" w:sz="8" w:space="0" w:color="ED7D31"/>
            </w:tcBorders>
            <w:shd w:val="clear" w:color="auto" w:fill="auto"/>
            <w:tcMar>
              <w:top w:w="9" w:type="dxa"/>
              <w:left w:w="84" w:type="dxa"/>
              <w:bottom w:w="0" w:type="dxa"/>
              <w:right w:w="9" w:type="dxa"/>
            </w:tcMar>
            <w:vAlign w:val="center"/>
          </w:tcPr>
          <w:p w14:paraId="12949632" w14:textId="5C450BA3" w:rsidR="00F822EF" w:rsidRPr="00D35FB6" w:rsidRDefault="00F822EF" w:rsidP="00D35FB6">
            <w:pPr>
              <w:spacing w:line="240" w:lineRule="auto"/>
              <w:rPr>
                <w:rFonts w:asciiTheme="majorHAnsi" w:hAnsiTheme="majorHAnsi" w:cstheme="majorHAnsi"/>
                <w:bCs/>
                <w:sz w:val="18"/>
                <w:szCs w:val="24"/>
              </w:rPr>
            </w:pPr>
            <w:r w:rsidRPr="00D35FB6">
              <w:rPr>
                <w:rFonts w:asciiTheme="majorHAnsi" w:hAnsiTheme="majorHAnsi" w:cstheme="majorHAnsi"/>
                <w:bCs/>
                <w:sz w:val="18"/>
                <w:szCs w:val="24"/>
              </w:rPr>
              <w:t>SITRAK</w:t>
            </w:r>
          </w:p>
        </w:tc>
        <w:tc>
          <w:tcPr>
            <w:tcW w:w="1215"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tcPr>
          <w:p w14:paraId="6952BDF3" w14:textId="2FA1A10E"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42,1</w:t>
            </w:r>
          </w:p>
        </w:tc>
        <w:tc>
          <w:tcPr>
            <w:tcW w:w="1157"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tcPr>
          <w:p w14:paraId="264E0B0D" w14:textId="330DF9D6"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15,8</w:t>
            </w:r>
          </w:p>
        </w:tc>
        <w:tc>
          <w:tcPr>
            <w:tcW w:w="1266" w:type="pct"/>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tcPr>
          <w:p w14:paraId="1B0AC5F2" w14:textId="7AA7F2D2"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-62,4%</w:t>
            </w:r>
          </w:p>
        </w:tc>
      </w:tr>
      <w:tr w:rsidR="00F822EF" w:rsidRPr="00D35FB6" w14:paraId="5C60F95F" w14:textId="77777777" w:rsidTr="00445CF9">
        <w:trPr>
          <w:trHeight w:val="69"/>
        </w:trPr>
        <w:tc>
          <w:tcPr>
            <w:tcW w:w="1362" w:type="pct"/>
            <w:tcBorders>
              <w:top w:val="single" w:sz="8" w:space="0" w:color="ED7D31"/>
              <w:left w:val="single" w:sz="8" w:space="0" w:color="ED7D31"/>
              <w:bottom w:val="single" w:sz="8" w:space="0" w:color="ED7D31"/>
              <w:right w:val="single" w:sz="8" w:space="0" w:color="ED7D31"/>
            </w:tcBorders>
            <w:shd w:val="clear" w:color="auto" w:fill="auto"/>
            <w:tcMar>
              <w:top w:w="9" w:type="dxa"/>
              <w:left w:w="84" w:type="dxa"/>
              <w:bottom w:w="0" w:type="dxa"/>
              <w:right w:w="9" w:type="dxa"/>
            </w:tcMar>
            <w:vAlign w:val="center"/>
          </w:tcPr>
          <w:p w14:paraId="7648079D" w14:textId="16BE091E" w:rsidR="00F822EF" w:rsidRPr="00D35FB6" w:rsidRDefault="00F822EF" w:rsidP="00D35FB6">
            <w:pPr>
              <w:spacing w:line="240" w:lineRule="auto"/>
              <w:rPr>
                <w:rFonts w:asciiTheme="majorHAnsi" w:hAnsiTheme="majorHAnsi" w:cstheme="majorHAnsi"/>
                <w:bCs/>
                <w:sz w:val="18"/>
                <w:szCs w:val="24"/>
              </w:rPr>
            </w:pPr>
            <w:r w:rsidRPr="00D35FB6">
              <w:rPr>
                <w:rFonts w:asciiTheme="majorHAnsi" w:hAnsiTheme="majorHAnsi" w:cstheme="majorHAnsi"/>
                <w:bCs/>
                <w:sz w:val="18"/>
                <w:szCs w:val="24"/>
              </w:rPr>
              <w:t>URAL</w:t>
            </w:r>
          </w:p>
        </w:tc>
        <w:tc>
          <w:tcPr>
            <w:tcW w:w="1215"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tcPr>
          <w:p w14:paraId="4458F730" w14:textId="47FC7A28"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12,6</w:t>
            </w:r>
          </w:p>
        </w:tc>
        <w:tc>
          <w:tcPr>
            <w:tcW w:w="1157"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tcPr>
          <w:p w14:paraId="240FCEAC" w14:textId="4EF995C8"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11,5</w:t>
            </w:r>
          </w:p>
        </w:tc>
        <w:tc>
          <w:tcPr>
            <w:tcW w:w="1266" w:type="pct"/>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tcPr>
          <w:p w14:paraId="0D7854FC" w14:textId="10A310BE"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-8,9%</w:t>
            </w:r>
          </w:p>
        </w:tc>
      </w:tr>
      <w:tr w:rsidR="00F822EF" w:rsidRPr="00D35FB6" w14:paraId="2D62E426" w14:textId="77777777" w:rsidTr="00445CF9">
        <w:trPr>
          <w:trHeight w:val="216"/>
        </w:trPr>
        <w:tc>
          <w:tcPr>
            <w:tcW w:w="1362" w:type="pct"/>
            <w:tcBorders>
              <w:top w:val="single" w:sz="8" w:space="0" w:color="ED7D31"/>
              <w:left w:val="single" w:sz="8" w:space="0" w:color="ED7D31"/>
              <w:bottom w:val="single" w:sz="8" w:space="0" w:color="ED7D31"/>
              <w:right w:val="single" w:sz="8" w:space="0" w:color="ED7D31"/>
            </w:tcBorders>
            <w:shd w:val="clear" w:color="auto" w:fill="auto"/>
            <w:tcMar>
              <w:top w:w="9" w:type="dxa"/>
              <w:left w:w="84" w:type="dxa"/>
              <w:bottom w:w="0" w:type="dxa"/>
              <w:right w:w="9" w:type="dxa"/>
            </w:tcMar>
            <w:vAlign w:val="center"/>
          </w:tcPr>
          <w:p w14:paraId="06C7019F" w14:textId="78128C74" w:rsidR="00F822EF" w:rsidRPr="00D35FB6" w:rsidRDefault="00F822EF" w:rsidP="00D35FB6">
            <w:pPr>
              <w:spacing w:line="240" w:lineRule="auto"/>
              <w:rPr>
                <w:rFonts w:asciiTheme="majorHAnsi" w:hAnsiTheme="majorHAnsi" w:cstheme="majorHAnsi"/>
                <w:bCs/>
                <w:sz w:val="18"/>
                <w:szCs w:val="24"/>
              </w:rPr>
            </w:pPr>
            <w:r w:rsidRPr="00D35FB6">
              <w:rPr>
                <w:rFonts w:asciiTheme="majorHAnsi" w:hAnsiTheme="majorHAnsi" w:cstheme="majorHAnsi"/>
                <w:bCs/>
                <w:sz w:val="18"/>
                <w:szCs w:val="24"/>
              </w:rPr>
              <w:t>DONGFENG</w:t>
            </w:r>
          </w:p>
        </w:tc>
        <w:tc>
          <w:tcPr>
            <w:tcW w:w="1215"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tcPr>
          <w:p w14:paraId="1B95E870" w14:textId="3EB3D4A8"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9,1</w:t>
            </w:r>
          </w:p>
        </w:tc>
        <w:tc>
          <w:tcPr>
            <w:tcW w:w="1157"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tcPr>
          <w:p w14:paraId="6102C297" w14:textId="43E84B49"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10,8</w:t>
            </w:r>
          </w:p>
        </w:tc>
        <w:tc>
          <w:tcPr>
            <w:tcW w:w="1266" w:type="pct"/>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tcPr>
          <w:p w14:paraId="41EFF3A5" w14:textId="4D1D0492" w:rsidR="00F822EF" w:rsidRPr="00D35FB6" w:rsidRDefault="00F822EF"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19,0%</w:t>
            </w:r>
          </w:p>
        </w:tc>
      </w:tr>
      <w:tr w:rsidR="00445CF9" w:rsidRPr="00D35FB6" w14:paraId="38CB31E6" w14:textId="77777777" w:rsidTr="00445CF9">
        <w:trPr>
          <w:trHeight w:val="216"/>
        </w:trPr>
        <w:tc>
          <w:tcPr>
            <w:tcW w:w="1362" w:type="pct"/>
            <w:tcBorders>
              <w:top w:val="single" w:sz="8" w:space="0" w:color="ED7D31"/>
              <w:left w:val="single" w:sz="8" w:space="0" w:color="ED7D31"/>
              <w:bottom w:val="single" w:sz="8" w:space="0" w:color="ED7D31"/>
              <w:right w:val="single" w:sz="8" w:space="0" w:color="ED7D31"/>
            </w:tcBorders>
            <w:shd w:val="clear" w:color="auto" w:fill="auto"/>
            <w:tcMar>
              <w:top w:w="9" w:type="dxa"/>
              <w:left w:w="84" w:type="dxa"/>
              <w:bottom w:w="0" w:type="dxa"/>
              <w:right w:w="9" w:type="dxa"/>
            </w:tcMar>
            <w:vAlign w:val="center"/>
          </w:tcPr>
          <w:p w14:paraId="0F955E8E" w14:textId="39E08426" w:rsidR="00445CF9" w:rsidRPr="00D35FB6" w:rsidRDefault="00445CF9" w:rsidP="00D35FB6">
            <w:pPr>
              <w:spacing w:line="240" w:lineRule="auto"/>
              <w:rPr>
                <w:rFonts w:asciiTheme="majorHAnsi" w:hAnsiTheme="majorHAnsi" w:cstheme="majorHAnsi"/>
                <w:bCs/>
                <w:sz w:val="18"/>
                <w:szCs w:val="24"/>
              </w:rPr>
            </w:pPr>
            <w:r w:rsidRPr="00D35FB6">
              <w:rPr>
                <w:rFonts w:asciiTheme="majorHAnsi" w:hAnsiTheme="majorHAnsi" w:cstheme="majorHAnsi"/>
                <w:bCs/>
                <w:sz w:val="18"/>
                <w:szCs w:val="24"/>
              </w:rPr>
              <w:t>Другие</w:t>
            </w:r>
          </w:p>
        </w:tc>
        <w:tc>
          <w:tcPr>
            <w:tcW w:w="1215"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tcPr>
          <w:p w14:paraId="705928B4" w14:textId="51E9172B" w:rsidR="00445CF9" w:rsidRPr="00D35FB6" w:rsidRDefault="00445CF9"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105,9</w:t>
            </w:r>
          </w:p>
        </w:tc>
        <w:tc>
          <w:tcPr>
            <w:tcW w:w="1157"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tcPr>
          <w:p w14:paraId="277B7E4C" w14:textId="6EC386B4" w:rsidR="00445CF9" w:rsidRPr="00D35FB6" w:rsidRDefault="00445CF9"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77,1</w:t>
            </w:r>
          </w:p>
        </w:tc>
        <w:tc>
          <w:tcPr>
            <w:tcW w:w="1266" w:type="pct"/>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tcPr>
          <w:p w14:paraId="47A8FBA8" w14:textId="1EF82589" w:rsidR="00445CF9" w:rsidRPr="00D35FB6" w:rsidRDefault="00445CF9" w:rsidP="00D35FB6">
            <w:pPr>
              <w:spacing w:line="240" w:lineRule="auto"/>
              <w:ind w:firstLineChars="100" w:firstLine="180"/>
              <w:jc w:val="center"/>
              <w:rPr>
                <w:rFonts w:asciiTheme="majorHAnsi" w:hAnsiTheme="majorHAnsi" w:cstheme="majorHAnsi"/>
                <w:bCs/>
                <w:color w:val="000000"/>
                <w:sz w:val="18"/>
                <w:szCs w:val="24"/>
              </w:rPr>
            </w:pPr>
            <w:r w:rsidRPr="00D35FB6">
              <w:rPr>
                <w:rFonts w:asciiTheme="majorHAnsi" w:hAnsiTheme="majorHAnsi" w:cstheme="majorHAnsi"/>
                <w:bCs/>
                <w:color w:val="000000"/>
                <w:sz w:val="18"/>
                <w:szCs w:val="24"/>
              </w:rPr>
              <w:t>-27,2%</w:t>
            </w:r>
          </w:p>
        </w:tc>
      </w:tr>
      <w:tr w:rsidR="00F822EF" w:rsidRPr="00D35FB6" w14:paraId="561A61FB" w14:textId="77777777" w:rsidTr="00445CF9">
        <w:trPr>
          <w:trHeight w:val="45"/>
        </w:trPr>
        <w:tc>
          <w:tcPr>
            <w:tcW w:w="1362" w:type="pct"/>
            <w:tcBorders>
              <w:top w:val="single" w:sz="8" w:space="0" w:color="ED7D31"/>
              <w:left w:val="single" w:sz="8" w:space="0" w:color="ED7D31"/>
              <w:bottom w:val="single" w:sz="8" w:space="0" w:color="ED7D31"/>
              <w:right w:val="single" w:sz="8" w:space="0" w:color="ED7D31"/>
            </w:tcBorders>
            <w:shd w:val="clear" w:color="auto" w:fill="auto"/>
            <w:tcMar>
              <w:top w:w="9" w:type="dxa"/>
              <w:left w:w="84" w:type="dxa"/>
              <w:bottom w:w="0" w:type="dxa"/>
              <w:right w:w="9" w:type="dxa"/>
            </w:tcMar>
            <w:vAlign w:val="center"/>
            <w:hideMark/>
          </w:tcPr>
          <w:p w14:paraId="144EA75E" w14:textId="77777777" w:rsidR="00F822EF" w:rsidRPr="00D35FB6" w:rsidRDefault="00F822EF" w:rsidP="00D35FB6">
            <w:pPr>
              <w:spacing w:line="240" w:lineRule="auto"/>
              <w:rPr>
                <w:rFonts w:asciiTheme="majorHAnsi" w:hAnsiTheme="majorHAnsi" w:cstheme="majorHAnsi"/>
                <w:bCs/>
                <w:sz w:val="18"/>
                <w:szCs w:val="24"/>
              </w:rPr>
            </w:pPr>
            <w:r w:rsidRPr="00D35FB6">
              <w:rPr>
                <w:rFonts w:asciiTheme="majorHAnsi" w:hAnsiTheme="majorHAnsi" w:cstheme="majorHAnsi"/>
                <w:bCs/>
                <w:sz w:val="18"/>
                <w:szCs w:val="24"/>
              </w:rPr>
              <w:t>Всего</w:t>
            </w:r>
          </w:p>
        </w:tc>
        <w:tc>
          <w:tcPr>
            <w:tcW w:w="1215"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595EF74D" w14:textId="77777777" w:rsidR="00F822EF" w:rsidRPr="00D35FB6" w:rsidRDefault="00F822EF" w:rsidP="00D35FB6">
            <w:pPr>
              <w:spacing w:line="240" w:lineRule="auto"/>
              <w:jc w:val="center"/>
              <w:rPr>
                <w:rFonts w:asciiTheme="majorHAnsi" w:hAnsiTheme="majorHAnsi" w:cstheme="majorHAnsi"/>
                <w:bCs/>
                <w:sz w:val="18"/>
                <w:szCs w:val="24"/>
              </w:rPr>
            </w:pPr>
            <w:r w:rsidRPr="00D35FB6">
              <w:rPr>
                <w:rFonts w:asciiTheme="majorHAnsi" w:hAnsiTheme="majorHAnsi" w:cstheme="majorHAnsi"/>
                <w:bCs/>
                <w:sz w:val="18"/>
                <w:szCs w:val="24"/>
              </w:rPr>
              <w:t>260,9</w:t>
            </w:r>
          </w:p>
        </w:tc>
        <w:tc>
          <w:tcPr>
            <w:tcW w:w="1157" w:type="pct"/>
            <w:tcBorders>
              <w:top w:val="single" w:sz="8" w:space="0" w:color="ED7D31"/>
              <w:left w:val="single" w:sz="8" w:space="0" w:color="ED7D31"/>
              <w:bottom w:val="single" w:sz="8" w:space="0" w:color="ED7D31"/>
              <w:right w:val="single" w:sz="8" w:space="0" w:color="ED7D31"/>
            </w:tcBorders>
            <w:shd w:val="clear" w:color="auto" w:fill="auto"/>
            <w:tcMar>
              <w:top w:w="15" w:type="dxa"/>
              <w:left w:w="135" w:type="dxa"/>
              <w:bottom w:w="0" w:type="dxa"/>
              <w:right w:w="15" w:type="dxa"/>
            </w:tcMar>
            <w:vAlign w:val="center"/>
            <w:hideMark/>
          </w:tcPr>
          <w:p w14:paraId="2B421AD8" w14:textId="77777777" w:rsidR="00F822EF" w:rsidRPr="00D35FB6" w:rsidRDefault="00F822EF" w:rsidP="00D35FB6">
            <w:pPr>
              <w:spacing w:line="240" w:lineRule="auto"/>
              <w:jc w:val="center"/>
              <w:rPr>
                <w:rFonts w:asciiTheme="majorHAnsi" w:hAnsiTheme="majorHAnsi" w:cstheme="majorHAnsi"/>
                <w:bCs/>
                <w:sz w:val="18"/>
                <w:szCs w:val="24"/>
              </w:rPr>
            </w:pPr>
            <w:r w:rsidRPr="00D35FB6">
              <w:rPr>
                <w:rFonts w:asciiTheme="majorHAnsi" w:hAnsiTheme="majorHAnsi" w:cstheme="majorHAnsi"/>
                <w:bCs/>
                <w:sz w:val="18"/>
                <w:szCs w:val="24"/>
              </w:rPr>
              <w:t>202,0</w:t>
            </w:r>
          </w:p>
        </w:tc>
        <w:tc>
          <w:tcPr>
            <w:tcW w:w="1266" w:type="pct"/>
            <w:tcBorders>
              <w:top w:val="single" w:sz="8" w:space="0" w:color="ED7D31"/>
              <w:left w:val="single" w:sz="8" w:space="0" w:color="ED7D31"/>
              <w:bottom w:val="single" w:sz="8" w:space="0" w:color="ED7D31"/>
              <w:right w:val="single" w:sz="8" w:space="0" w:color="ED7D31"/>
            </w:tcBorders>
            <w:shd w:val="clear" w:color="auto" w:fill="auto"/>
            <w:tcMar>
              <w:top w:w="8" w:type="dxa"/>
              <w:left w:w="74" w:type="dxa"/>
              <w:bottom w:w="0" w:type="dxa"/>
              <w:right w:w="8" w:type="dxa"/>
            </w:tcMar>
            <w:vAlign w:val="center"/>
            <w:hideMark/>
          </w:tcPr>
          <w:p w14:paraId="220C8A17" w14:textId="77777777" w:rsidR="00F822EF" w:rsidRPr="00D35FB6" w:rsidRDefault="00F822EF" w:rsidP="00D35FB6">
            <w:pPr>
              <w:spacing w:line="240" w:lineRule="auto"/>
              <w:jc w:val="center"/>
              <w:rPr>
                <w:rFonts w:asciiTheme="majorHAnsi" w:hAnsiTheme="majorHAnsi" w:cstheme="majorHAnsi"/>
                <w:bCs/>
                <w:sz w:val="18"/>
                <w:szCs w:val="24"/>
              </w:rPr>
            </w:pPr>
            <w:r w:rsidRPr="00D35FB6">
              <w:rPr>
                <w:rFonts w:asciiTheme="majorHAnsi" w:hAnsiTheme="majorHAnsi" w:cstheme="majorHAnsi"/>
                <w:bCs/>
                <w:sz w:val="18"/>
                <w:szCs w:val="24"/>
              </w:rPr>
              <w:t>-22,6%</w:t>
            </w:r>
          </w:p>
        </w:tc>
      </w:tr>
    </w:tbl>
    <w:p w14:paraId="3F2AC5C4" w14:textId="1D455D20" w:rsidR="005253D5" w:rsidRPr="00D35FB6" w:rsidRDefault="00A82FA7" w:rsidP="00D35FB6">
      <w:pPr>
        <w:spacing w:line="240" w:lineRule="auto"/>
        <w:jc w:val="right"/>
        <w:rPr>
          <w:rFonts w:asciiTheme="majorHAnsi" w:hAnsiTheme="majorHAnsi" w:cstheme="majorHAnsi"/>
          <w:i/>
          <w:sz w:val="20"/>
          <w:szCs w:val="24"/>
        </w:rPr>
      </w:pPr>
      <w:r w:rsidRPr="00D35FB6">
        <w:rPr>
          <w:rFonts w:asciiTheme="majorHAnsi" w:hAnsiTheme="majorHAnsi" w:cstheme="majorHAnsi"/>
          <w:i/>
          <w:sz w:val="20"/>
          <w:szCs w:val="24"/>
        </w:rPr>
        <w:t>Источник: НАПИ / Национальное Агентство Промышленной Информации</w:t>
      </w:r>
    </w:p>
    <w:p w14:paraId="5BAE24DE" w14:textId="22D0CBE5" w:rsidR="00B16203" w:rsidRPr="00D35FB6" w:rsidRDefault="00B16203" w:rsidP="00D35FB6">
      <w:pPr>
        <w:spacing w:line="240" w:lineRule="auto"/>
        <w:jc w:val="both"/>
        <w:rPr>
          <w:rFonts w:asciiTheme="majorHAnsi" w:hAnsiTheme="majorHAnsi" w:cstheme="majorHAnsi"/>
          <w:b/>
          <w:sz w:val="24"/>
          <w:szCs w:val="24"/>
        </w:rPr>
      </w:pPr>
      <w:r w:rsidRPr="00D35FB6">
        <w:rPr>
          <w:rFonts w:asciiTheme="majorHAnsi" w:hAnsiTheme="majorHAnsi" w:cstheme="majorHAnsi"/>
          <w:b/>
          <w:sz w:val="24"/>
          <w:szCs w:val="24"/>
        </w:rPr>
        <w:t>– Какие марки в настоящее время наиболее востребованы и интересны с точки зрения повышения финансовой емкости?</w:t>
      </w:r>
    </w:p>
    <w:p w14:paraId="3BCDD525" w14:textId="650C21C2" w:rsidR="00B16203" w:rsidRPr="00D35FB6" w:rsidRDefault="00B16203" w:rsidP="00D35FB6">
      <w:pPr>
        <w:spacing w:line="240" w:lineRule="auto"/>
        <w:jc w:val="both"/>
        <w:rPr>
          <w:rFonts w:asciiTheme="majorHAnsi" w:hAnsiTheme="majorHAnsi" w:cstheme="majorHAnsi"/>
          <w:sz w:val="24"/>
          <w:szCs w:val="24"/>
        </w:rPr>
      </w:pPr>
      <w:r w:rsidRPr="00D35FB6">
        <w:rPr>
          <w:rFonts w:asciiTheme="majorHAnsi" w:hAnsiTheme="majorHAnsi" w:cstheme="majorHAnsi"/>
          <w:sz w:val="24"/>
          <w:szCs w:val="24"/>
        </w:rPr>
        <w:t>– Я бы не ста</w:t>
      </w:r>
      <w:r w:rsidR="00AB1A63" w:rsidRPr="00D35FB6">
        <w:rPr>
          <w:rFonts w:asciiTheme="majorHAnsi" w:hAnsiTheme="majorHAnsi" w:cstheme="majorHAnsi"/>
          <w:sz w:val="24"/>
          <w:szCs w:val="24"/>
        </w:rPr>
        <w:t>л говорить о конкретных марках. М</w:t>
      </w:r>
      <w:r w:rsidRPr="00D35FB6">
        <w:rPr>
          <w:rFonts w:asciiTheme="majorHAnsi" w:hAnsiTheme="majorHAnsi" w:cstheme="majorHAnsi"/>
          <w:sz w:val="24"/>
          <w:szCs w:val="24"/>
        </w:rPr>
        <w:t>ы видим, что на территории страны формируются парки различных марок и категорий ТС. Клиенты адаптировались к новым рыночным условиям и выбирают те бренды, которые им комфортнее эксплуатировать в сфере их деятельности и с учетом компетенций их водителей.</w:t>
      </w:r>
    </w:p>
    <w:p w14:paraId="17D257BD" w14:textId="77777777" w:rsidR="000B2601" w:rsidRPr="00D35FB6" w:rsidRDefault="000B2601" w:rsidP="00D35FB6">
      <w:pPr>
        <w:shd w:val="clear" w:color="auto" w:fill="FBE4D5" w:themeFill="accent2" w:themeFillTint="33"/>
        <w:spacing w:line="240" w:lineRule="auto"/>
        <w:jc w:val="both"/>
        <w:rPr>
          <w:rFonts w:asciiTheme="majorHAnsi" w:hAnsiTheme="majorHAnsi" w:cstheme="majorHAnsi"/>
          <w:bCs/>
          <w:sz w:val="24"/>
          <w:szCs w:val="24"/>
        </w:rPr>
      </w:pPr>
      <w:r w:rsidRPr="00D35FB6">
        <w:rPr>
          <w:rFonts w:asciiTheme="majorHAnsi" w:hAnsiTheme="majorHAnsi" w:cstheme="majorHAnsi"/>
          <w:bCs/>
          <w:sz w:val="24"/>
          <w:szCs w:val="24"/>
        </w:rPr>
        <w:t>НАПИ:</w:t>
      </w:r>
    </w:p>
    <w:p w14:paraId="638AEB68" w14:textId="4097A71A" w:rsidR="000118B5" w:rsidRPr="00D35FB6" w:rsidRDefault="002610D6" w:rsidP="00D35FB6">
      <w:pPr>
        <w:shd w:val="clear" w:color="auto" w:fill="FBE4D5" w:themeFill="accent2" w:themeFillTint="33"/>
        <w:spacing w:line="240" w:lineRule="auto"/>
        <w:jc w:val="both"/>
        <w:rPr>
          <w:rFonts w:asciiTheme="majorHAnsi" w:hAnsiTheme="majorHAnsi" w:cstheme="majorHAnsi"/>
          <w:bCs/>
          <w:sz w:val="24"/>
          <w:szCs w:val="24"/>
        </w:rPr>
      </w:pPr>
      <w:r w:rsidRPr="00D35FB6">
        <w:rPr>
          <w:rFonts w:asciiTheme="majorHAnsi" w:hAnsiTheme="majorHAnsi" w:cstheme="majorHAnsi"/>
          <w:bCs/>
          <w:sz w:val="24"/>
          <w:szCs w:val="24"/>
        </w:rPr>
        <w:t>Финансовая емкость седельных тягачей в январе-мае 2026 года составила 56</w:t>
      </w:r>
      <w:r w:rsidR="00580E03" w:rsidRPr="00D35FB6">
        <w:rPr>
          <w:rFonts w:asciiTheme="majorHAnsi" w:hAnsiTheme="majorHAnsi" w:cstheme="majorHAnsi"/>
          <w:bCs/>
          <w:sz w:val="24"/>
          <w:szCs w:val="24"/>
        </w:rPr>
        <w:t>,0</w:t>
      </w:r>
      <w:r w:rsidRPr="00D35FB6">
        <w:rPr>
          <w:rFonts w:asciiTheme="majorHAnsi" w:hAnsiTheme="majorHAnsi" w:cstheme="majorHAnsi"/>
          <w:bCs/>
          <w:sz w:val="24"/>
          <w:szCs w:val="24"/>
        </w:rPr>
        <w:t xml:space="preserve"> млрд</w:t>
      </w:r>
      <w:r w:rsidR="00580E03" w:rsidRPr="00D35FB6">
        <w:rPr>
          <w:rFonts w:asciiTheme="majorHAnsi" w:hAnsiTheme="majorHAnsi" w:cstheme="majorHAnsi"/>
          <w:bCs/>
          <w:sz w:val="24"/>
          <w:szCs w:val="24"/>
        </w:rPr>
        <w:t xml:space="preserve"> рублей</w:t>
      </w:r>
      <w:r w:rsidR="005766C0" w:rsidRPr="00D35FB6">
        <w:rPr>
          <w:rFonts w:asciiTheme="majorHAnsi" w:hAnsiTheme="majorHAnsi" w:cstheme="majorHAnsi"/>
          <w:bCs/>
          <w:sz w:val="24"/>
          <w:szCs w:val="24"/>
        </w:rPr>
        <w:t>, что ниже показател</w:t>
      </w:r>
      <w:r w:rsidR="00187833" w:rsidRPr="00D35FB6">
        <w:rPr>
          <w:rFonts w:asciiTheme="majorHAnsi" w:hAnsiTheme="majorHAnsi" w:cstheme="majorHAnsi"/>
          <w:bCs/>
          <w:sz w:val="24"/>
          <w:szCs w:val="24"/>
        </w:rPr>
        <w:t>я</w:t>
      </w:r>
      <w:r w:rsidR="005766C0" w:rsidRPr="00D35FB6">
        <w:rPr>
          <w:rFonts w:asciiTheme="majorHAnsi" w:hAnsiTheme="majorHAnsi" w:cstheme="majorHAnsi"/>
          <w:bCs/>
          <w:sz w:val="24"/>
          <w:szCs w:val="24"/>
        </w:rPr>
        <w:t xml:space="preserve"> прошлого года на 23,4%.</w:t>
      </w:r>
    </w:p>
    <w:p w14:paraId="6276AE60" w14:textId="4D750CC0" w:rsidR="00B16203" w:rsidRPr="00D35FB6" w:rsidRDefault="00B16203" w:rsidP="00D35FB6">
      <w:pPr>
        <w:spacing w:line="240" w:lineRule="auto"/>
        <w:jc w:val="both"/>
        <w:rPr>
          <w:rFonts w:asciiTheme="majorHAnsi" w:hAnsiTheme="majorHAnsi" w:cstheme="majorHAnsi"/>
          <w:b/>
          <w:sz w:val="24"/>
          <w:szCs w:val="24"/>
        </w:rPr>
      </w:pPr>
      <w:r w:rsidRPr="00D35FB6">
        <w:rPr>
          <w:rFonts w:asciiTheme="majorHAnsi" w:hAnsiTheme="majorHAnsi" w:cstheme="majorHAnsi"/>
          <w:b/>
          <w:sz w:val="24"/>
          <w:szCs w:val="24"/>
        </w:rPr>
        <w:t>– Какие типы грузовых автомобилей лидируют по финансовой емкости и с чем это связано?</w:t>
      </w:r>
    </w:p>
    <w:p w14:paraId="7E0C9314" w14:textId="29F9F3E5" w:rsidR="00B16203" w:rsidRPr="00D35FB6" w:rsidRDefault="00B16203" w:rsidP="00D35FB6">
      <w:pPr>
        <w:spacing w:line="240" w:lineRule="auto"/>
        <w:jc w:val="both"/>
        <w:rPr>
          <w:rFonts w:asciiTheme="majorHAnsi" w:hAnsiTheme="majorHAnsi" w:cstheme="majorHAnsi"/>
          <w:sz w:val="24"/>
          <w:szCs w:val="24"/>
        </w:rPr>
      </w:pPr>
      <w:r w:rsidRPr="00D35FB6">
        <w:rPr>
          <w:rFonts w:asciiTheme="majorHAnsi" w:hAnsiTheme="majorHAnsi" w:cstheme="majorHAnsi"/>
          <w:sz w:val="24"/>
          <w:szCs w:val="24"/>
        </w:rPr>
        <w:t>– Наша страна является самой большой по площади в мире, и именно это обусловливает лидерство в финансовой емкости прежде всего различных марок седельных тягачей, посредством которых перемещается существенная часть грузопотока по территории Российской Федерации.</w:t>
      </w:r>
    </w:p>
    <w:p w14:paraId="43737049" w14:textId="3CFCEDAC" w:rsidR="00B16203" w:rsidRPr="00D35FB6" w:rsidRDefault="00DB3338" w:rsidP="00D35FB6">
      <w:pPr>
        <w:spacing w:line="240" w:lineRule="auto"/>
        <w:jc w:val="both"/>
        <w:rPr>
          <w:rFonts w:asciiTheme="majorHAnsi" w:hAnsiTheme="majorHAnsi" w:cstheme="majorHAnsi"/>
          <w:sz w:val="24"/>
          <w:szCs w:val="24"/>
        </w:rPr>
      </w:pPr>
      <w:r w:rsidRPr="00D35FB6">
        <w:rPr>
          <w:rFonts w:asciiTheme="majorHAnsi" w:hAnsiTheme="majorHAnsi" w:cstheme="majorHAnsi"/>
          <w:sz w:val="24"/>
          <w:szCs w:val="24"/>
        </w:rPr>
        <w:t>Кроме того, м</w:t>
      </w:r>
      <w:r w:rsidR="00B16203" w:rsidRPr="00D35FB6">
        <w:rPr>
          <w:rFonts w:asciiTheme="majorHAnsi" w:hAnsiTheme="majorHAnsi" w:cstheme="majorHAnsi"/>
          <w:sz w:val="24"/>
          <w:szCs w:val="24"/>
        </w:rPr>
        <w:t xml:space="preserve">ы наблюдаем существенные изменения в емкости и популярности различных самосвалов, фургонов и, конечно же, коммунальной техники, что свидетельствует о продолжающемся обновлении инфраструктуры. </w:t>
      </w:r>
    </w:p>
    <w:p w14:paraId="69478AF5" w14:textId="1D87B2AA" w:rsidR="004552BF" w:rsidRPr="00D35FB6" w:rsidRDefault="004552BF" w:rsidP="00D35FB6">
      <w:pPr>
        <w:spacing w:line="240" w:lineRule="auto"/>
        <w:jc w:val="both"/>
        <w:rPr>
          <w:rFonts w:asciiTheme="majorHAnsi" w:hAnsiTheme="majorHAnsi" w:cstheme="majorHAnsi"/>
          <w:b/>
          <w:sz w:val="24"/>
          <w:szCs w:val="24"/>
        </w:rPr>
      </w:pPr>
      <w:r w:rsidRPr="00D35FB6">
        <w:rPr>
          <w:rFonts w:asciiTheme="majorHAnsi" w:hAnsiTheme="majorHAnsi" w:cstheme="majorHAnsi"/>
          <w:b/>
          <w:sz w:val="24"/>
          <w:szCs w:val="24"/>
        </w:rPr>
        <w:t>– Что препятствует росту продаж и лизинга и достижению показателей прошлых лет? Какие меры принимаются для улучшения ситуации?</w:t>
      </w:r>
    </w:p>
    <w:p w14:paraId="78AAD4DB" w14:textId="6EEF1518" w:rsidR="004552BF" w:rsidRPr="00D35FB6" w:rsidRDefault="004552BF" w:rsidP="00D35FB6">
      <w:pPr>
        <w:spacing w:line="240" w:lineRule="auto"/>
        <w:jc w:val="both"/>
        <w:rPr>
          <w:rFonts w:asciiTheme="majorHAnsi" w:hAnsiTheme="majorHAnsi" w:cstheme="majorHAnsi"/>
          <w:sz w:val="24"/>
          <w:szCs w:val="24"/>
        </w:rPr>
      </w:pPr>
      <w:r w:rsidRPr="00D35FB6">
        <w:rPr>
          <w:rFonts w:asciiTheme="majorHAnsi" w:hAnsiTheme="majorHAnsi" w:cstheme="majorHAnsi"/>
          <w:sz w:val="24"/>
          <w:szCs w:val="24"/>
        </w:rPr>
        <w:t>– Данный вопрос не содержит однозначного ответа. Ранее мы уже обсуждали многообразие факторов, влияющих на продажи грузовых автомобилей на рынке России. Но при этом не стоит забывать, что у любой ситуации есть факторы в зоне нашего влияния и, к сожалению, вне зоны нашего влияния. Я бы сконцентрировался прежде всего на факторах, находящихся в зоне нашего влияния.</w:t>
      </w:r>
    </w:p>
    <w:p w14:paraId="54C33A10" w14:textId="7752852D" w:rsidR="00766CFA" w:rsidRPr="00D35FB6" w:rsidRDefault="00766CFA" w:rsidP="00D35FB6">
      <w:pPr>
        <w:spacing w:line="240" w:lineRule="auto"/>
        <w:jc w:val="both"/>
        <w:rPr>
          <w:rFonts w:asciiTheme="majorHAnsi" w:hAnsiTheme="majorHAnsi" w:cstheme="majorHAnsi"/>
          <w:sz w:val="24"/>
          <w:szCs w:val="24"/>
        </w:rPr>
      </w:pPr>
      <w:r w:rsidRPr="00D35FB6">
        <w:rPr>
          <w:rFonts w:asciiTheme="majorHAnsi" w:hAnsiTheme="majorHAnsi" w:cstheme="majorHAnsi"/>
          <w:sz w:val="24"/>
          <w:szCs w:val="24"/>
        </w:rPr>
        <w:t xml:space="preserve">Мы, как и многие другие компании, принимаем большое количество мер для улучшения ситуации и помощи нашим партнерам — поставщикам ТС и лизингополучателям. Мы ввели гибкие условия финансирования, в том числе оптимальные авансовые платежи и скорректированные сроки договоров. Также действуют программы по авансированию техники поставщикам, программы по реструктуризации и по субсидированному финансированию ряда марок и моделей в сегменте грузовой техники для лизингополучателей. Созданные условия учитывают не только сезонность работ клиентов, но и затраты, связанные с перерывами в эксплуатации, в том числе на ремонт техники. </w:t>
      </w:r>
    </w:p>
    <w:p w14:paraId="78D26166" w14:textId="0AF1338A" w:rsidR="00414A56" w:rsidRPr="00D35FB6" w:rsidRDefault="00766CFA" w:rsidP="00D35FB6">
      <w:pPr>
        <w:spacing w:line="240" w:lineRule="auto"/>
        <w:jc w:val="both"/>
        <w:rPr>
          <w:rFonts w:asciiTheme="majorHAnsi" w:hAnsiTheme="majorHAnsi" w:cstheme="majorHAnsi"/>
          <w:sz w:val="24"/>
          <w:szCs w:val="24"/>
        </w:rPr>
      </w:pPr>
      <w:r w:rsidRPr="00D35FB6">
        <w:rPr>
          <w:rFonts w:asciiTheme="majorHAnsi" w:hAnsiTheme="majorHAnsi" w:cstheme="majorHAnsi"/>
          <w:sz w:val="24"/>
          <w:szCs w:val="24"/>
        </w:rPr>
        <w:t>Уверен, что при грамотной финансовой поддержке восстановление рынка грузовой техники и возврат к показателям продаж докризисного периода наступят гораздо быстрее.</w:t>
      </w:r>
    </w:p>
    <w:p w14:paraId="3436C060" w14:textId="2B9639A8" w:rsidR="00414A56" w:rsidRPr="00D35FB6" w:rsidRDefault="006F0F7B" w:rsidP="00D35FB6">
      <w:pPr>
        <w:spacing w:line="240" w:lineRule="auto"/>
        <w:jc w:val="both"/>
        <w:rPr>
          <w:rFonts w:asciiTheme="majorHAnsi" w:hAnsiTheme="majorHAnsi" w:cstheme="majorHAnsi"/>
          <w:b/>
          <w:sz w:val="24"/>
          <w:szCs w:val="24"/>
        </w:rPr>
      </w:pPr>
      <w:r w:rsidRPr="00D35FB6">
        <w:rPr>
          <w:rFonts w:asciiTheme="majorHAnsi" w:hAnsiTheme="majorHAnsi" w:cstheme="majorHAnsi"/>
          <w:b/>
          <w:sz w:val="24"/>
          <w:szCs w:val="24"/>
        </w:rPr>
        <w:t xml:space="preserve">– </w:t>
      </w:r>
      <w:r w:rsidR="00414A56" w:rsidRPr="00D35FB6">
        <w:rPr>
          <w:rFonts w:asciiTheme="majorHAnsi" w:hAnsiTheme="majorHAnsi" w:cstheme="majorHAnsi"/>
          <w:b/>
          <w:sz w:val="24"/>
          <w:szCs w:val="24"/>
        </w:rPr>
        <w:t>Как лизинговые компании видят рынок грузовой техники в будущем?</w:t>
      </w:r>
      <w:r w:rsidRPr="00D35FB6">
        <w:rPr>
          <w:rFonts w:asciiTheme="majorHAnsi" w:hAnsiTheme="majorHAnsi" w:cstheme="majorHAnsi"/>
          <w:b/>
          <w:sz w:val="24"/>
          <w:szCs w:val="24"/>
        </w:rPr>
        <w:t xml:space="preserve"> </w:t>
      </w:r>
      <w:r w:rsidR="00414A56" w:rsidRPr="00D35FB6">
        <w:rPr>
          <w:rFonts w:asciiTheme="majorHAnsi" w:hAnsiTheme="majorHAnsi" w:cstheme="majorHAnsi"/>
          <w:b/>
          <w:sz w:val="24"/>
          <w:szCs w:val="24"/>
        </w:rPr>
        <w:t>Может ли стать модель продажи в лизинг дву</w:t>
      </w:r>
      <w:r w:rsidRPr="00D35FB6">
        <w:rPr>
          <w:rFonts w:asciiTheme="majorHAnsi" w:hAnsiTheme="majorHAnsi" w:cstheme="majorHAnsi"/>
          <w:b/>
          <w:sz w:val="24"/>
          <w:szCs w:val="24"/>
        </w:rPr>
        <w:t>хфакторной на длительный период (1. н</w:t>
      </w:r>
      <w:r w:rsidR="00414A56" w:rsidRPr="00D35FB6">
        <w:rPr>
          <w:rFonts w:asciiTheme="majorHAnsi" w:hAnsiTheme="majorHAnsi" w:cstheme="majorHAnsi"/>
          <w:b/>
          <w:sz w:val="24"/>
          <w:szCs w:val="24"/>
        </w:rPr>
        <w:t>овые автомоби</w:t>
      </w:r>
      <w:r w:rsidRPr="00D35FB6">
        <w:rPr>
          <w:rFonts w:asciiTheme="majorHAnsi" w:hAnsiTheme="majorHAnsi" w:cstheme="majorHAnsi"/>
          <w:b/>
          <w:sz w:val="24"/>
          <w:szCs w:val="24"/>
        </w:rPr>
        <w:t>ли и их возвращение или изъятие; 2. в</w:t>
      </w:r>
      <w:r w:rsidR="00414A56" w:rsidRPr="00D35FB6">
        <w:rPr>
          <w:rFonts w:asciiTheme="majorHAnsi" w:hAnsiTheme="majorHAnsi" w:cstheme="majorHAnsi"/>
          <w:b/>
          <w:sz w:val="24"/>
          <w:szCs w:val="24"/>
        </w:rPr>
        <w:t>торичны</w:t>
      </w:r>
      <w:r w:rsidRPr="00D35FB6">
        <w:rPr>
          <w:rFonts w:asciiTheme="majorHAnsi" w:hAnsiTheme="majorHAnsi" w:cstheme="majorHAnsi"/>
          <w:b/>
          <w:sz w:val="24"/>
          <w:szCs w:val="24"/>
        </w:rPr>
        <w:t>й лизинг автомобилей с пробегом)?</w:t>
      </w:r>
    </w:p>
    <w:p w14:paraId="2EBFEADA" w14:textId="39829528" w:rsidR="004552BF" w:rsidRPr="003434AA" w:rsidRDefault="00300F46" w:rsidP="004036DF">
      <w:pPr>
        <w:spacing w:line="240" w:lineRule="auto"/>
        <w:jc w:val="both"/>
        <w:rPr>
          <w:rFonts w:asciiTheme="majorHAnsi" w:hAnsiTheme="majorHAnsi" w:cstheme="majorHAnsi"/>
          <w:sz w:val="24"/>
          <w:szCs w:val="24"/>
        </w:rPr>
      </w:pPr>
      <w:r w:rsidRPr="00D35FB6">
        <w:rPr>
          <w:rFonts w:asciiTheme="majorHAnsi" w:hAnsiTheme="majorHAnsi" w:cstheme="majorHAnsi"/>
          <w:sz w:val="24"/>
          <w:szCs w:val="24"/>
        </w:rPr>
        <w:t xml:space="preserve">– </w:t>
      </w:r>
      <w:r w:rsidR="00344082" w:rsidRPr="00D35FB6">
        <w:rPr>
          <w:rFonts w:asciiTheme="majorHAnsi" w:hAnsiTheme="majorHAnsi" w:cstheme="majorHAnsi"/>
          <w:sz w:val="24"/>
          <w:szCs w:val="24"/>
        </w:rPr>
        <w:t xml:space="preserve">Я уверен, что в будущем рынок грузовой техники будет динамично развиваться, так как мы </w:t>
      </w:r>
      <w:r w:rsidR="00592771" w:rsidRPr="00D35FB6">
        <w:rPr>
          <w:rFonts w:asciiTheme="majorHAnsi" w:hAnsiTheme="majorHAnsi" w:cstheme="majorHAnsi"/>
          <w:sz w:val="24"/>
          <w:szCs w:val="24"/>
        </w:rPr>
        <w:t xml:space="preserve">фиксируем </w:t>
      </w:r>
      <w:r w:rsidR="00344082" w:rsidRPr="00D35FB6">
        <w:rPr>
          <w:rFonts w:asciiTheme="majorHAnsi" w:hAnsiTheme="majorHAnsi" w:cstheme="majorHAnsi"/>
          <w:sz w:val="24"/>
          <w:szCs w:val="24"/>
        </w:rPr>
        <w:t>накопленный потенциал спроса на услуги данной категории ТС.</w:t>
      </w:r>
      <w:r w:rsidR="00CD4ACD" w:rsidRPr="00D35FB6">
        <w:rPr>
          <w:rFonts w:asciiTheme="majorHAnsi" w:hAnsiTheme="majorHAnsi" w:cstheme="majorHAnsi"/>
          <w:sz w:val="24"/>
          <w:szCs w:val="24"/>
        </w:rPr>
        <w:t xml:space="preserve"> </w:t>
      </w:r>
      <w:r w:rsidR="00344082" w:rsidRPr="00D35FB6">
        <w:rPr>
          <w:rFonts w:asciiTheme="majorHAnsi" w:hAnsiTheme="majorHAnsi" w:cstheme="majorHAnsi"/>
          <w:sz w:val="24"/>
          <w:szCs w:val="24"/>
        </w:rPr>
        <w:t xml:space="preserve">Если порассуждать на тему, будут ли это новые автомобили или все-таки вторичный рынок, то я бы сказал, что здесь будет классическая ситуация </w:t>
      </w:r>
      <w:proofErr w:type="spellStart"/>
      <w:r w:rsidR="00344082" w:rsidRPr="00D35FB6">
        <w:rPr>
          <w:rFonts w:asciiTheme="majorHAnsi" w:hAnsiTheme="majorHAnsi" w:cstheme="majorHAnsi"/>
          <w:sz w:val="24"/>
          <w:szCs w:val="24"/>
        </w:rPr>
        <w:t>win-win</w:t>
      </w:r>
      <w:proofErr w:type="spellEnd"/>
      <w:r w:rsidR="00344082" w:rsidRPr="00D35FB6">
        <w:rPr>
          <w:rFonts w:asciiTheme="majorHAnsi" w:hAnsiTheme="majorHAnsi" w:cstheme="majorHAnsi"/>
          <w:sz w:val="24"/>
          <w:szCs w:val="24"/>
        </w:rPr>
        <w:t>, когда динамично растущий спрос сначала будет удовлетворять техника на вторичном рынке, так как услуги будут нужны здесь и сейчас, а затем поставщики смогут уже доставить и новые ТС.</w:t>
      </w:r>
      <w:r w:rsidR="00CD4ACD" w:rsidRPr="00D35FB6">
        <w:rPr>
          <w:rFonts w:asciiTheme="majorHAnsi" w:hAnsiTheme="majorHAnsi" w:cstheme="majorHAnsi"/>
          <w:sz w:val="24"/>
          <w:szCs w:val="24"/>
        </w:rPr>
        <w:t xml:space="preserve"> </w:t>
      </w:r>
      <w:r w:rsidR="00344082" w:rsidRPr="00D35FB6">
        <w:rPr>
          <w:rFonts w:asciiTheme="majorHAnsi" w:hAnsiTheme="majorHAnsi" w:cstheme="majorHAnsi"/>
          <w:sz w:val="24"/>
          <w:szCs w:val="24"/>
        </w:rPr>
        <w:t xml:space="preserve">Поэтому я уверен, что в </w:t>
      </w:r>
      <w:r w:rsidR="0094704B" w:rsidRPr="00D35FB6">
        <w:rPr>
          <w:rFonts w:asciiTheme="majorHAnsi" w:hAnsiTheme="majorHAnsi" w:cstheme="majorHAnsi"/>
          <w:sz w:val="24"/>
          <w:szCs w:val="24"/>
        </w:rPr>
        <w:t xml:space="preserve">среднесрочной </w:t>
      </w:r>
      <w:r w:rsidR="00344082" w:rsidRPr="00D35FB6">
        <w:rPr>
          <w:rFonts w:asciiTheme="majorHAnsi" w:hAnsiTheme="majorHAnsi" w:cstheme="majorHAnsi"/>
          <w:sz w:val="24"/>
          <w:szCs w:val="24"/>
        </w:rPr>
        <w:t>перспективе</w:t>
      </w:r>
      <w:r w:rsidR="0094704B" w:rsidRPr="00D35FB6">
        <w:rPr>
          <w:rFonts w:asciiTheme="majorHAnsi" w:hAnsiTheme="majorHAnsi" w:cstheme="majorHAnsi"/>
          <w:sz w:val="24"/>
          <w:szCs w:val="24"/>
        </w:rPr>
        <w:t xml:space="preserve"> рынок </w:t>
      </w:r>
      <w:r w:rsidR="00344082" w:rsidRPr="00D35FB6">
        <w:rPr>
          <w:rFonts w:asciiTheme="majorHAnsi" w:hAnsiTheme="majorHAnsi" w:cstheme="majorHAnsi"/>
          <w:sz w:val="24"/>
          <w:szCs w:val="24"/>
        </w:rPr>
        <w:t xml:space="preserve">грузовых автомобилей </w:t>
      </w:r>
      <w:r w:rsidR="0094704B" w:rsidRPr="00D35FB6">
        <w:rPr>
          <w:rFonts w:asciiTheme="majorHAnsi" w:hAnsiTheme="majorHAnsi" w:cstheme="majorHAnsi"/>
          <w:sz w:val="24"/>
          <w:szCs w:val="24"/>
        </w:rPr>
        <w:t xml:space="preserve">вернется к росту и продолжит </w:t>
      </w:r>
      <w:r w:rsidR="00344082" w:rsidRPr="00D35FB6">
        <w:rPr>
          <w:rFonts w:asciiTheme="majorHAnsi" w:hAnsiTheme="majorHAnsi" w:cstheme="majorHAnsi"/>
          <w:sz w:val="24"/>
          <w:szCs w:val="24"/>
        </w:rPr>
        <w:t>яркое развитие.</w:t>
      </w:r>
      <w:bookmarkEnd w:id="0"/>
    </w:p>
    <w:sectPr w:rsidR="004552BF" w:rsidRPr="003434AA" w:rsidSect="00A9718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D3CA9"/>
    <w:multiLevelType w:val="hybridMultilevel"/>
    <w:tmpl w:val="F8B84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410985"/>
    <w:multiLevelType w:val="hybridMultilevel"/>
    <w:tmpl w:val="31CEF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2938C8"/>
    <w:multiLevelType w:val="hybridMultilevel"/>
    <w:tmpl w:val="2AC41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B25582"/>
    <w:multiLevelType w:val="hybridMultilevel"/>
    <w:tmpl w:val="2354B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2B0D79"/>
    <w:multiLevelType w:val="hybridMultilevel"/>
    <w:tmpl w:val="0F5E0C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0BF"/>
    <w:rsid w:val="000010E4"/>
    <w:rsid w:val="000118B5"/>
    <w:rsid w:val="000121F6"/>
    <w:rsid w:val="000304F9"/>
    <w:rsid w:val="00045D81"/>
    <w:rsid w:val="000559DA"/>
    <w:rsid w:val="000A4732"/>
    <w:rsid w:val="000B2601"/>
    <w:rsid w:val="000E27B8"/>
    <w:rsid w:val="000F3EF5"/>
    <w:rsid w:val="000F7E06"/>
    <w:rsid w:val="00140B0D"/>
    <w:rsid w:val="00160A9C"/>
    <w:rsid w:val="001633A5"/>
    <w:rsid w:val="00187833"/>
    <w:rsid w:val="001907D5"/>
    <w:rsid w:val="001B39A1"/>
    <w:rsid w:val="001D1CAE"/>
    <w:rsid w:val="002170B2"/>
    <w:rsid w:val="002424A9"/>
    <w:rsid w:val="00255637"/>
    <w:rsid w:val="002610D6"/>
    <w:rsid w:val="00267A1C"/>
    <w:rsid w:val="00271526"/>
    <w:rsid w:val="002A11F5"/>
    <w:rsid w:val="002B490E"/>
    <w:rsid w:val="002B7832"/>
    <w:rsid w:val="00300F46"/>
    <w:rsid w:val="00306AC1"/>
    <w:rsid w:val="003203FD"/>
    <w:rsid w:val="003434AA"/>
    <w:rsid w:val="00343D87"/>
    <w:rsid w:val="00344082"/>
    <w:rsid w:val="00351CAF"/>
    <w:rsid w:val="00355733"/>
    <w:rsid w:val="00387AF6"/>
    <w:rsid w:val="003920C5"/>
    <w:rsid w:val="003A7B19"/>
    <w:rsid w:val="003B0274"/>
    <w:rsid w:val="003B7A27"/>
    <w:rsid w:val="003D2651"/>
    <w:rsid w:val="003F2C07"/>
    <w:rsid w:val="004036DF"/>
    <w:rsid w:val="00414A56"/>
    <w:rsid w:val="00435219"/>
    <w:rsid w:val="00437A71"/>
    <w:rsid w:val="004446AF"/>
    <w:rsid w:val="00445CF9"/>
    <w:rsid w:val="004552BF"/>
    <w:rsid w:val="0045598A"/>
    <w:rsid w:val="00457166"/>
    <w:rsid w:val="00481160"/>
    <w:rsid w:val="0048301A"/>
    <w:rsid w:val="004A07BC"/>
    <w:rsid w:val="004A2446"/>
    <w:rsid w:val="004A4C3B"/>
    <w:rsid w:val="004C3054"/>
    <w:rsid w:val="004C7BDD"/>
    <w:rsid w:val="004D306F"/>
    <w:rsid w:val="004D3DBB"/>
    <w:rsid w:val="00522627"/>
    <w:rsid w:val="005253D5"/>
    <w:rsid w:val="005766C0"/>
    <w:rsid w:val="00580E03"/>
    <w:rsid w:val="00592771"/>
    <w:rsid w:val="005A2FF3"/>
    <w:rsid w:val="005A6682"/>
    <w:rsid w:val="005C0D65"/>
    <w:rsid w:val="005D5EBE"/>
    <w:rsid w:val="00634824"/>
    <w:rsid w:val="006A50ED"/>
    <w:rsid w:val="006B2929"/>
    <w:rsid w:val="006D4822"/>
    <w:rsid w:val="006F0F7B"/>
    <w:rsid w:val="006F63E9"/>
    <w:rsid w:val="00700B24"/>
    <w:rsid w:val="00756203"/>
    <w:rsid w:val="00766CFA"/>
    <w:rsid w:val="00783DD2"/>
    <w:rsid w:val="0079488E"/>
    <w:rsid w:val="007B0F15"/>
    <w:rsid w:val="007C4A98"/>
    <w:rsid w:val="0081013F"/>
    <w:rsid w:val="00816DD9"/>
    <w:rsid w:val="0082617E"/>
    <w:rsid w:val="00881B28"/>
    <w:rsid w:val="00893F06"/>
    <w:rsid w:val="008B0883"/>
    <w:rsid w:val="0094704B"/>
    <w:rsid w:val="009503F8"/>
    <w:rsid w:val="00957007"/>
    <w:rsid w:val="00975FAE"/>
    <w:rsid w:val="009B1CF8"/>
    <w:rsid w:val="009C0E3F"/>
    <w:rsid w:val="009D157D"/>
    <w:rsid w:val="009D4D7D"/>
    <w:rsid w:val="009F7B71"/>
    <w:rsid w:val="00A11347"/>
    <w:rsid w:val="00A44CB8"/>
    <w:rsid w:val="00A45BE6"/>
    <w:rsid w:val="00A53F6B"/>
    <w:rsid w:val="00A66EE0"/>
    <w:rsid w:val="00A72927"/>
    <w:rsid w:val="00A82FA7"/>
    <w:rsid w:val="00A87FD8"/>
    <w:rsid w:val="00A9718C"/>
    <w:rsid w:val="00AA01E1"/>
    <w:rsid w:val="00AB1A63"/>
    <w:rsid w:val="00AB55F6"/>
    <w:rsid w:val="00AB7129"/>
    <w:rsid w:val="00AC20F1"/>
    <w:rsid w:val="00AC2320"/>
    <w:rsid w:val="00AC4140"/>
    <w:rsid w:val="00B16203"/>
    <w:rsid w:val="00B26E5B"/>
    <w:rsid w:val="00B30B78"/>
    <w:rsid w:val="00BA1BB5"/>
    <w:rsid w:val="00BC76A7"/>
    <w:rsid w:val="00BE045E"/>
    <w:rsid w:val="00BE7B38"/>
    <w:rsid w:val="00BE7DC6"/>
    <w:rsid w:val="00C23919"/>
    <w:rsid w:val="00C30DDD"/>
    <w:rsid w:val="00C704F6"/>
    <w:rsid w:val="00C85944"/>
    <w:rsid w:val="00CD4ACD"/>
    <w:rsid w:val="00D03CE3"/>
    <w:rsid w:val="00D32434"/>
    <w:rsid w:val="00D324B9"/>
    <w:rsid w:val="00D35FB6"/>
    <w:rsid w:val="00D36096"/>
    <w:rsid w:val="00D52FE1"/>
    <w:rsid w:val="00D66C30"/>
    <w:rsid w:val="00D92728"/>
    <w:rsid w:val="00D92D8A"/>
    <w:rsid w:val="00DA0DA1"/>
    <w:rsid w:val="00DA303E"/>
    <w:rsid w:val="00DB04B3"/>
    <w:rsid w:val="00DB3338"/>
    <w:rsid w:val="00DD3D2F"/>
    <w:rsid w:val="00DE6E1C"/>
    <w:rsid w:val="00E07A4F"/>
    <w:rsid w:val="00E14DAF"/>
    <w:rsid w:val="00E14E6E"/>
    <w:rsid w:val="00E2658A"/>
    <w:rsid w:val="00E63FF9"/>
    <w:rsid w:val="00E712E1"/>
    <w:rsid w:val="00E74212"/>
    <w:rsid w:val="00E8718F"/>
    <w:rsid w:val="00EB218C"/>
    <w:rsid w:val="00EE5859"/>
    <w:rsid w:val="00EF30BF"/>
    <w:rsid w:val="00F12CE7"/>
    <w:rsid w:val="00F16778"/>
    <w:rsid w:val="00F53EFB"/>
    <w:rsid w:val="00F6471B"/>
    <w:rsid w:val="00F67F09"/>
    <w:rsid w:val="00F822EF"/>
    <w:rsid w:val="00F8422C"/>
    <w:rsid w:val="00FC3026"/>
    <w:rsid w:val="00FF13A4"/>
    <w:rsid w:val="00FF4EC2"/>
    <w:rsid w:val="00FF5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E5C5"/>
  <w15:chartTrackingRefBased/>
  <w15:docId w15:val="{2DDB119A-55CD-4368-85F1-C542E5C9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BDD"/>
    <w:pPr>
      <w:ind w:left="720"/>
      <w:contextualSpacing/>
    </w:pPr>
  </w:style>
  <w:style w:type="character" w:customStyle="1" w:styleId="translatable-message">
    <w:name w:val="translatable-message"/>
    <w:basedOn w:val="a0"/>
    <w:rsid w:val="00414A56"/>
  </w:style>
  <w:style w:type="character" w:styleId="a4">
    <w:name w:val="Hyperlink"/>
    <w:basedOn w:val="a0"/>
    <w:uiPriority w:val="99"/>
    <w:unhideWhenUsed/>
    <w:rsid w:val="00271526"/>
    <w:rPr>
      <w:color w:val="0563C1" w:themeColor="hyperlink"/>
      <w:u w:val="single"/>
    </w:rPr>
  </w:style>
  <w:style w:type="table" w:styleId="-32">
    <w:name w:val="List Table 3 Accent 2"/>
    <w:basedOn w:val="a1"/>
    <w:uiPriority w:val="48"/>
    <w:rsid w:val="000118B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52">
    <w:name w:val="Grid Table 5 Dark Accent 2"/>
    <w:basedOn w:val="a1"/>
    <w:uiPriority w:val="50"/>
    <w:rsid w:val="000118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72">
    <w:name w:val="Grid Table 7 Colorful Accent 2"/>
    <w:basedOn w:val="a1"/>
    <w:uiPriority w:val="52"/>
    <w:rsid w:val="000118B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22">
    <w:name w:val="Grid Table 2 Accent 2"/>
    <w:basedOn w:val="a1"/>
    <w:uiPriority w:val="47"/>
    <w:rsid w:val="000118B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2">
    <w:name w:val="Grid Table 4 Accent 2"/>
    <w:basedOn w:val="a1"/>
    <w:uiPriority w:val="49"/>
    <w:rsid w:val="000118B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0118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5">
    <w:name w:val="annotation reference"/>
    <w:basedOn w:val="a0"/>
    <w:uiPriority w:val="99"/>
    <w:semiHidden/>
    <w:unhideWhenUsed/>
    <w:rsid w:val="00D03CE3"/>
    <w:rPr>
      <w:sz w:val="16"/>
      <w:szCs w:val="16"/>
    </w:rPr>
  </w:style>
  <w:style w:type="paragraph" w:styleId="a6">
    <w:name w:val="annotation text"/>
    <w:basedOn w:val="a"/>
    <w:link w:val="a7"/>
    <w:uiPriority w:val="99"/>
    <w:semiHidden/>
    <w:unhideWhenUsed/>
    <w:rsid w:val="00D03CE3"/>
    <w:pPr>
      <w:spacing w:line="240" w:lineRule="auto"/>
    </w:pPr>
    <w:rPr>
      <w:sz w:val="20"/>
      <w:szCs w:val="20"/>
    </w:rPr>
  </w:style>
  <w:style w:type="character" w:customStyle="1" w:styleId="a7">
    <w:name w:val="Текст примечания Знак"/>
    <w:basedOn w:val="a0"/>
    <w:link w:val="a6"/>
    <w:uiPriority w:val="99"/>
    <w:semiHidden/>
    <w:rsid w:val="00D03CE3"/>
    <w:rPr>
      <w:sz w:val="20"/>
      <w:szCs w:val="20"/>
    </w:rPr>
  </w:style>
  <w:style w:type="paragraph" w:styleId="a8">
    <w:name w:val="annotation subject"/>
    <w:basedOn w:val="a6"/>
    <w:next w:val="a6"/>
    <w:link w:val="a9"/>
    <w:uiPriority w:val="99"/>
    <w:semiHidden/>
    <w:unhideWhenUsed/>
    <w:rsid w:val="00D03CE3"/>
    <w:rPr>
      <w:b/>
      <w:bCs/>
    </w:rPr>
  </w:style>
  <w:style w:type="character" w:customStyle="1" w:styleId="a9">
    <w:name w:val="Тема примечания Знак"/>
    <w:basedOn w:val="a7"/>
    <w:link w:val="a8"/>
    <w:uiPriority w:val="99"/>
    <w:semiHidden/>
    <w:rsid w:val="00D03CE3"/>
    <w:rPr>
      <w:b/>
      <w:bCs/>
      <w:sz w:val="20"/>
      <w:szCs w:val="20"/>
    </w:rPr>
  </w:style>
  <w:style w:type="paragraph" w:styleId="aa">
    <w:name w:val="Balloon Text"/>
    <w:basedOn w:val="a"/>
    <w:link w:val="ab"/>
    <w:uiPriority w:val="99"/>
    <w:semiHidden/>
    <w:unhideWhenUsed/>
    <w:rsid w:val="00D03CE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03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5730">
      <w:bodyDiv w:val="1"/>
      <w:marLeft w:val="0"/>
      <w:marRight w:val="0"/>
      <w:marTop w:val="0"/>
      <w:marBottom w:val="0"/>
      <w:divBdr>
        <w:top w:val="none" w:sz="0" w:space="0" w:color="auto"/>
        <w:left w:val="none" w:sz="0" w:space="0" w:color="auto"/>
        <w:bottom w:val="none" w:sz="0" w:space="0" w:color="auto"/>
        <w:right w:val="none" w:sz="0" w:space="0" w:color="auto"/>
      </w:divBdr>
    </w:div>
    <w:div w:id="334958655">
      <w:bodyDiv w:val="1"/>
      <w:marLeft w:val="0"/>
      <w:marRight w:val="0"/>
      <w:marTop w:val="0"/>
      <w:marBottom w:val="0"/>
      <w:divBdr>
        <w:top w:val="none" w:sz="0" w:space="0" w:color="auto"/>
        <w:left w:val="none" w:sz="0" w:space="0" w:color="auto"/>
        <w:bottom w:val="none" w:sz="0" w:space="0" w:color="auto"/>
        <w:right w:val="none" w:sz="0" w:space="0" w:color="auto"/>
      </w:divBdr>
    </w:div>
    <w:div w:id="420296304">
      <w:bodyDiv w:val="1"/>
      <w:marLeft w:val="0"/>
      <w:marRight w:val="0"/>
      <w:marTop w:val="0"/>
      <w:marBottom w:val="0"/>
      <w:divBdr>
        <w:top w:val="none" w:sz="0" w:space="0" w:color="auto"/>
        <w:left w:val="none" w:sz="0" w:space="0" w:color="auto"/>
        <w:bottom w:val="none" w:sz="0" w:space="0" w:color="auto"/>
        <w:right w:val="none" w:sz="0" w:space="0" w:color="auto"/>
      </w:divBdr>
    </w:div>
    <w:div w:id="500586347">
      <w:bodyDiv w:val="1"/>
      <w:marLeft w:val="0"/>
      <w:marRight w:val="0"/>
      <w:marTop w:val="0"/>
      <w:marBottom w:val="0"/>
      <w:divBdr>
        <w:top w:val="none" w:sz="0" w:space="0" w:color="auto"/>
        <w:left w:val="none" w:sz="0" w:space="0" w:color="auto"/>
        <w:bottom w:val="none" w:sz="0" w:space="0" w:color="auto"/>
        <w:right w:val="none" w:sz="0" w:space="0" w:color="auto"/>
      </w:divBdr>
    </w:div>
    <w:div w:id="505050821">
      <w:bodyDiv w:val="1"/>
      <w:marLeft w:val="0"/>
      <w:marRight w:val="0"/>
      <w:marTop w:val="0"/>
      <w:marBottom w:val="0"/>
      <w:divBdr>
        <w:top w:val="none" w:sz="0" w:space="0" w:color="auto"/>
        <w:left w:val="none" w:sz="0" w:space="0" w:color="auto"/>
        <w:bottom w:val="none" w:sz="0" w:space="0" w:color="auto"/>
        <w:right w:val="none" w:sz="0" w:space="0" w:color="auto"/>
      </w:divBdr>
    </w:div>
    <w:div w:id="527331872">
      <w:bodyDiv w:val="1"/>
      <w:marLeft w:val="0"/>
      <w:marRight w:val="0"/>
      <w:marTop w:val="0"/>
      <w:marBottom w:val="0"/>
      <w:divBdr>
        <w:top w:val="none" w:sz="0" w:space="0" w:color="auto"/>
        <w:left w:val="none" w:sz="0" w:space="0" w:color="auto"/>
        <w:bottom w:val="none" w:sz="0" w:space="0" w:color="auto"/>
        <w:right w:val="none" w:sz="0" w:space="0" w:color="auto"/>
      </w:divBdr>
    </w:div>
    <w:div w:id="527762580">
      <w:bodyDiv w:val="1"/>
      <w:marLeft w:val="0"/>
      <w:marRight w:val="0"/>
      <w:marTop w:val="0"/>
      <w:marBottom w:val="0"/>
      <w:divBdr>
        <w:top w:val="none" w:sz="0" w:space="0" w:color="auto"/>
        <w:left w:val="none" w:sz="0" w:space="0" w:color="auto"/>
        <w:bottom w:val="none" w:sz="0" w:space="0" w:color="auto"/>
        <w:right w:val="none" w:sz="0" w:space="0" w:color="auto"/>
      </w:divBdr>
    </w:div>
    <w:div w:id="644970173">
      <w:bodyDiv w:val="1"/>
      <w:marLeft w:val="0"/>
      <w:marRight w:val="0"/>
      <w:marTop w:val="0"/>
      <w:marBottom w:val="0"/>
      <w:divBdr>
        <w:top w:val="none" w:sz="0" w:space="0" w:color="auto"/>
        <w:left w:val="none" w:sz="0" w:space="0" w:color="auto"/>
        <w:bottom w:val="none" w:sz="0" w:space="0" w:color="auto"/>
        <w:right w:val="none" w:sz="0" w:space="0" w:color="auto"/>
      </w:divBdr>
    </w:div>
    <w:div w:id="732046400">
      <w:bodyDiv w:val="1"/>
      <w:marLeft w:val="0"/>
      <w:marRight w:val="0"/>
      <w:marTop w:val="0"/>
      <w:marBottom w:val="0"/>
      <w:divBdr>
        <w:top w:val="none" w:sz="0" w:space="0" w:color="auto"/>
        <w:left w:val="none" w:sz="0" w:space="0" w:color="auto"/>
        <w:bottom w:val="none" w:sz="0" w:space="0" w:color="auto"/>
        <w:right w:val="none" w:sz="0" w:space="0" w:color="auto"/>
      </w:divBdr>
    </w:div>
    <w:div w:id="849952448">
      <w:bodyDiv w:val="1"/>
      <w:marLeft w:val="0"/>
      <w:marRight w:val="0"/>
      <w:marTop w:val="0"/>
      <w:marBottom w:val="0"/>
      <w:divBdr>
        <w:top w:val="none" w:sz="0" w:space="0" w:color="auto"/>
        <w:left w:val="none" w:sz="0" w:space="0" w:color="auto"/>
        <w:bottom w:val="none" w:sz="0" w:space="0" w:color="auto"/>
        <w:right w:val="none" w:sz="0" w:space="0" w:color="auto"/>
      </w:divBdr>
    </w:div>
    <w:div w:id="868908132">
      <w:bodyDiv w:val="1"/>
      <w:marLeft w:val="0"/>
      <w:marRight w:val="0"/>
      <w:marTop w:val="0"/>
      <w:marBottom w:val="0"/>
      <w:divBdr>
        <w:top w:val="none" w:sz="0" w:space="0" w:color="auto"/>
        <w:left w:val="none" w:sz="0" w:space="0" w:color="auto"/>
        <w:bottom w:val="none" w:sz="0" w:space="0" w:color="auto"/>
        <w:right w:val="none" w:sz="0" w:space="0" w:color="auto"/>
      </w:divBdr>
    </w:div>
    <w:div w:id="941033052">
      <w:bodyDiv w:val="1"/>
      <w:marLeft w:val="0"/>
      <w:marRight w:val="0"/>
      <w:marTop w:val="0"/>
      <w:marBottom w:val="0"/>
      <w:divBdr>
        <w:top w:val="none" w:sz="0" w:space="0" w:color="auto"/>
        <w:left w:val="none" w:sz="0" w:space="0" w:color="auto"/>
        <w:bottom w:val="none" w:sz="0" w:space="0" w:color="auto"/>
        <w:right w:val="none" w:sz="0" w:space="0" w:color="auto"/>
      </w:divBdr>
    </w:div>
    <w:div w:id="970358038">
      <w:bodyDiv w:val="1"/>
      <w:marLeft w:val="0"/>
      <w:marRight w:val="0"/>
      <w:marTop w:val="0"/>
      <w:marBottom w:val="0"/>
      <w:divBdr>
        <w:top w:val="none" w:sz="0" w:space="0" w:color="auto"/>
        <w:left w:val="none" w:sz="0" w:space="0" w:color="auto"/>
        <w:bottom w:val="none" w:sz="0" w:space="0" w:color="auto"/>
        <w:right w:val="none" w:sz="0" w:space="0" w:color="auto"/>
      </w:divBdr>
    </w:div>
    <w:div w:id="972909163">
      <w:bodyDiv w:val="1"/>
      <w:marLeft w:val="0"/>
      <w:marRight w:val="0"/>
      <w:marTop w:val="0"/>
      <w:marBottom w:val="0"/>
      <w:divBdr>
        <w:top w:val="none" w:sz="0" w:space="0" w:color="auto"/>
        <w:left w:val="none" w:sz="0" w:space="0" w:color="auto"/>
        <w:bottom w:val="none" w:sz="0" w:space="0" w:color="auto"/>
        <w:right w:val="none" w:sz="0" w:space="0" w:color="auto"/>
      </w:divBdr>
    </w:div>
    <w:div w:id="976835511">
      <w:bodyDiv w:val="1"/>
      <w:marLeft w:val="0"/>
      <w:marRight w:val="0"/>
      <w:marTop w:val="0"/>
      <w:marBottom w:val="0"/>
      <w:divBdr>
        <w:top w:val="none" w:sz="0" w:space="0" w:color="auto"/>
        <w:left w:val="none" w:sz="0" w:space="0" w:color="auto"/>
        <w:bottom w:val="none" w:sz="0" w:space="0" w:color="auto"/>
        <w:right w:val="none" w:sz="0" w:space="0" w:color="auto"/>
      </w:divBdr>
    </w:div>
    <w:div w:id="1115709472">
      <w:bodyDiv w:val="1"/>
      <w:marLeft w:val="0"/>
      <w:marRight w:val="0"/>
      <w:marTop w:val="0"/>
      <w:marBottom w:val="0"/>
      <w:divBdr>
        <w:top w:val="none" w:sz="0" w:space="0" w:color="auto"/>
        <w:left w:val="none" w:sz="0" w:space="0" w:color="auto"/>
        <w:bottom w:val="none" w:sz="0" w:space="0" w:color="auto"/>
        <w:right w:val="none" w:sz="0" w:space="0" w:color="auto"/>
      </w:divBdr>
    </w:div>
    <w:div w:id="1197305833">
      <w:bodyDiv w:val="1"/>
      <w:marLeft w:val="0"/>
      <w:marRight w:val="0"/>
      <w:marTop w:val="0"/>
      <w:marBottom w:val="0"/>
      <w:divBdr>
        <w:top w:val="none" w:sz="0" w:space="0" w:color="auto"/>
        <w:left w:val="none" w:sz="0" w:space="0" w:color="auto"/>
        <w:bottom w:val="none" w:sz="0" w:space="0" w:color="auto"/>
        <w:right w:val="none" w:sz="0" w:space="0" w:color="auto"/>
      </w:divBdr>
    </w:div>
    <w:div w:id="1297448728">
      <w:bodyDiv w:val="1"/>
      <w:marLeft w:val="0"/>
      <w:marRight w:val="0"/>
      <w:marTop w:val="0"/>
      <w:marBottom w:val="0"/>
      <w:divBdr>
        <w:top w:val="none" w:sz="0" w:space="0" w:color="auto"/>
        <w:left w:val="none" w:sz="0" w:space="0" w:color="auto"/>
        <w:bottom w:val="none" w:sz="0" w:space="0" w:color="auto"/>
        <w:right w:val="none" w:sz="0" w:space="0" w:color="auto"/>
      </w:divBdr>
    </w:div>
    <w:div w:id="1330907201">
      <w:bodyDiv w:val="1"/>
      <w:marLeft w:val="0"/>
      <w:marRight w:val="0"/>
      <w:marTop w:val="0"/>
      <w:marBottom w:val="0"/>
      <w:divBdr>
        <w:top w:val="none" w:sz="0" w:space="0" w:color="auto"/>
        <w:left w:val="none" w:sz="0" w:space="0" w:color="auto"/>
        <w:bottom w:val="none" w:sz="0" w:space="0" w:color="auto"/>
        <w:right w:val="none" w:sz="0" w:space="0" w:color="auto"/>
      </w:divBdr>
    </w:div>
    <w:div w:id="1382096502">
      <w:bodyDiv w:val="1"/>
      <w:marLeft w:val="0"/>
      <w:marRight w:val="0"/>
      <w:marTop w:val="0"/>
      <w:marBottom w:val="0"/>
      <w:divBdr>
        <w:top w:val="none" w:sz="0" w:space="0" w:color="auto"/>
        <w:left w:val="none" w:sz="0" w:space="0" w:color="auto"/>
        <w:bottom w:val="none" w:sz="0" w:space="0" w:color="auto"/>
        <w:right w:val="none" w:sz="0" w:space="0" w:color="auto"/>
      </w:divBdr>
    </w:div>
    <w:div w:id="1630746616">
      <w:bodyDiv w:val="1"/>
      <w:marLeft w:val="0"/>
      <w:marRight w:val="0"/>
      <w:marTop w:val="0"/>
      <w:marBottom w:val="0"/>
      <w:divBdr>
        <w:top w:val="none" w:sz="0" w:space="0" w:color="auto"/>
        <w:left w:val="none" w:sz="0" w:space="0" w:color="auto"/>
        <w:bottom w:val="none" w:sz="0" w:space="0" w:color="auto"/>
        <w:right w:val="none" w:sz="0" w:space="0" w:color="auto"/>
      </w:divBdr>
    </w:div>
    <w:div w:id="1631083404">
      <w:bodyDiv w:val="1"/>
      <w:marLeft w:val="0"/>
      <w:marRight w:val="0"/>
      <w:marTop w:val="0"/>
      <w:marBottom w:val="0"/>
      <w:divBdr>
        <w:top w:val="none" w:sz="0" w:space="0" w:color="auto"/>
        <w:left w:val="none" w:sz="0" w:space="0" w:color="auto"/>
        <w:bottom w:val="none" w:sz="0" w:space="0" w:color="auto"/>
        <w:right w:val="none" w:sz="0" w:space="0" w:color="auto"/>
      </w:divBdr>
    </w:div>
    <w:div w:id="1670861593">
      <w:bodyDiv w:val="1"/>
      <w:marLeft w:val="0"/>
      <w:marRight w:val="0"/>
      <w:marTop w:val="0"/>
      <w:marBottom w:val="0"/>
      <w:divBdr>
        <w:top w:val="none" w:sz="0" w:space="0" w:color="auto"/>
        <w:left w:val="none" w:sz="0" w:space="0" w:color="auto"/>
        <w:bottom w:val="none" w:sz="0" w:space="0" w:color="auto"/>
        <w:right w:val="none" w:sz="0" w:space="0" w:color="auto"/>
      </w:divBdr>
    </w:div>
    <w:div w:id="1707292268">
      <w:bodyDiv w:val="1"/>
      <w:marLeft w:val="0"/>
      <w:marRight w:val="0"/>
      <w:marTop w:val="0"/>
      <w:marBottom w:val="0"/>
      <w:divBdr>
        <w:top w:val="none" w:sz="0" w:space="0" w:color="auto"/>
        <w:left w:val="none" w:sz="0" w:space="0" w:color="auto"/>
        <w:bottom w:val="none" w:sz="0" w:space="0" w:color="auto"/>
        <w:right w:val="none" w:sz="0" w:space="0" w:color="auto"/>
      </w:divBdr>
    </w:div>
    <w:div w:id="1871066039">
      <w:bodyDiv w:val="1"/>
      <w:marLeft w:val="0"/>
      <w:marRight w:val="0"/>
      <w:marTop w:val="0"/>
      <w:marBottom w:val="0"/>
      <w:divBdr>
        <w:top w:val="none" w:sz="0" w:space="0" w:color="auto"/>
        <w:left w:val="none" w:sz="0" w:space="0" w:color="auto"/>
        <w:bottom w:val="none" w:sz="0" w:space="0" w:color="auto"/>
        <w:right w:val="none" w:sz="0" w:space="0" w:color="auto"/>
      </w:divBdr>
    </w:div>
    <w:div w:id="1994287718">
      <w:bodyDiv w:val="1"/>
      <w:marLeft w:val="0"/>
      <w:marRight w:val="0"/>
      <w:marTop w:val="0"/>
      <w:marBottom w:val="0"/>
      <w:divBdr>
        <w:top w:val="none" w:sz="0" w:space="0" w:color="auto"/>
        <w:left w:val="none" w:sz="0" w:space="0" w:color="auto"/>
        <w:bottom w:val="none" w:sz="0" w:space="0" w:color="auto"/>
        <w:right w:val="none" w:sz="0" w:space="0" w:color="auto"/>
      </w:divBdr>
    </w:div>
    <w:div w:id="209403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5041B-77A0-4617-AD8E-FB83A891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1639</Words>
  <Characters>9343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Болушева Ольга Александровна</cp:lastModifiedBy>
  <cp:revision>8</cp:revision>
  <dcterms:created xsi:type="dcterms:W3CDTF">2026-07-01T09:08:00Z</dcterms:created>
  <dcterms:modified xsi:type="dcterms:W3CDTF">2026-07-01T11:06:00Z</dcterms:modified>
</cp:coreProperties>
</file>